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1756CD" w:rsidRDefault="002A304A">
      <w:pPr>
        <w:jc w:val="center"/>
        <w:rPr>
          <w:b/>
          <w:sz w:val="24"/>
          <w:szCs w:val="24"/>
        </w:rPr>
      </w:pPr>
      <w:bookmarkStart w:id="0" w:name="_Hlk522263620"/>
      <w:bookmarkEnd w:id="0"/>
      <w:r>
        <w:rPr>
          <w:b/>
          <w:sz w:val="24"/>
          <w:szCs w:val="24"/>
        </w:rPr>
        <w:t>Smart Metering Implementation Programme</w:t>
      </w:r>
    </w:p>
    <w:p w:rsidR="001756CD" w:rsidRDefault="001756CD">
      <w:pPr>
        <w:pStyle w:val="Narrow"/>
      </w:pPr>
    </w:p>
    <w:p w:rsidR="001756CD" w:rsidRDefault="002A304A">
      <w:pPr>
        <w:pStyle w:val="NoSpacing"/>
        <w:jc w:val="center"/>
        <w:rPr>
          <w:rFonts w:cs="Arial"/>
          <w:sz w:val="32"/>
          <w:szCs w:val="24"/>
        </w:rPr>
      </w:pPr>
      <w:r>
        <w:rPr>
          <w:rFonts w:cs="Arial"/>
          <w:sz w:val="32"/>
          <w:szCs w:val="24"/>
        </w:rPr>
        <w:t>Technical Specification Issue Resolution Proposal</w:t>
      </w:r>
    </w:p>
    <w:p w:rsidR="001756CD" w:rsidRDefault="001756CD">
      <w:pPr>
        <w:pStyle w:val="Narrow"/>
      </w:pPr>
    </w:p>
    <w:p w:rsidR="001756CD" w:rsidRDefault="002A304A">
      <w:pPr>
        <w:rPr>
          <w:vertAlign w:val="superscript"/>
        </w:rPr>
      </w:pPr>
      <w:r>
        <w:rPr>
          <w:noProof/>
        </w:rPr>
        <mc:AlternateContent>
          <mc:Choice Requires="wps">
            <w:drawing>
              <wp:anchor distT="0" distB="0" distL="0" distR="0" simplePos="0" relativeHeight="2" behindDoc="1" locked="0" layoutInCell="1" allowOverlap="1" wp14:anchorId="76441AFD" wp14:editId="2DCC4A6E">
                <wp:simplePos x="0" y="0"/>
                <wp:positionH relativeFrom="margin">
                  <wp:posOffset>-63500</wp:posOffset>
                </wp:positionH>
                <wp:positionV relativeFrom="paragraph">
                  <wp:posOffset>42545</wp:posOffset>
                </wp:positionV>
                <wp:extent cx="5819775" cy="601980"/>
                <wp:effectExtent l="0" t="0" r="10795" b="27940"/>
                <wp:wrapNone/>
                <wp:docPr id="1" name="Text Box 1"/>
                <wp:cNvGraphicFramePr/>
                <a:graphic xmlns:a="http://schemas.openxmlformats.org/drawingml/2006/main">
                  <a:graphicData uri="http://schemas.microsoft.com/office/word/2010/wordprocessingShape">
                    <wps:wsp>
                      <wps:cNvSpPr/>
                      <wps:spPr>
                        <a:xfrm>
                          <a:off x="0" y="0"/>
                          <a:ext cx="5819040" cy="601200"/>
                        </a:xfrm>
                        <a:prstGeom prst="rect">
                          <a:avLst/>
                        </a:prstGeom>
                        <a:solidFill>
                          <a:schemeClr val="lt1"/>
                        </a:solidFill>
                        <a:ln w="6480">
                          <a:solidFill>
                            <a:srgbClr val="000000"/>
                          </a:solidFill>
                          <a:round/>
                        </a:ln>
                      </wps:spPr>
                      <wps:style>
                        <a:lnRef idx="0">
                          <a:schemeClr val="accent1"/>
                        </a:lnRef>
                        <a:fillRef idx="0">
                          <a:schemeClr val="accent1"/>
                        </a:fillRef>
                        <a:effectRef idx="0">
                          <a:schemeClr val="accent1"/>
                        </a:effectRef>
                        <a:fontRef idx="minor"/>
                      </wps:style>
                      <wps:txbx>
                        <w:txbxContent>
                          <w:p w:rsidR="001756CD" w:rsidRDefault="001756CD">
                            <w:pPr>
                              <w:pStyle w:val="FrameContents"/>
                              <w:rPr>
                                <w:color w:val="000000"/>
                              </w:rPr>
                            </w:pPr>
                          </w:p>
                        </w:txbxContent>
                      </wps:txbx>
                      <wps:bodyPr>
                        <a:prstTxWarp prst="textNoShape">
                          <a:avLst/>
                        </a:prstTxWarp>
                        <a:noAutofit/>
                      </wps:bodyPr>
                    </wps:wsp>
                  </a:graphicData>
                </a:graphic>
              </wp:anchor>
            </w:drawing>
          </mc:Choice>
          <mc:Fallback>
            <w:pict>
              <v:rect w14:anchorId="76441AFD" id="Text Box 1" o:spid="_x0000_s1026" style="position:absolute;margin-left:-5pt;margin-top:3.35pt;width:458.25pt;height:47.4pt;z-index:-503316478;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bi//QEAAIEEAAAOAAAAZHJzL2Uyb0RvYy54bWysVFFv2yAQfp+0/4B4X2xXXZVZcaptVfcy&#10;ddWaqs8EQ4wEHAISO/9+B3bcpttLq+WBgLn77rvvO3t1PRhNDsIHBbah1aKkRFgOrbK7hj5ubj8t&#10;KQmR2ZZpsKKhRxHo9frjh1XvanEBHehWeIIgNtS9a2gXo6uLIvBOGBYW4ITFSwnesIhHvytaz3pE&#10;N7q4KMurogffOg9chIBPb8ZLus74Ugoef0kZRCS6ocgt5tXndZvWYr1i9c4z1yk+0WDvYGGYslh0&#10;hrphkZG9V39BGcU9BJBxwcEUIKXiIveA3VTlq24eOuZE7gXFCW6WKfw/WH53uPdEtegdJZYZtGgj&#10;hki+wUCqpE7vQo1BD+7eT6eA29TqIL1J/9gEGbKix1nRBMHx4edl9aW8ROE53l2VFVqWQIvnbOdD&#10;/CHAkLRpqEfHspDs8DPEMfQUkooF0Kq9VVrnQ5oS8V17cmDor46ZMYKfRWlLeix+uSwz8Nld8Lvt&#10;nF/m38TvLMzD3rYjGW2RfhJllCHv4lGLxEfb30KimFmNfxBknAs7k8zRKUpiO29JnOJTqsgj/pbk&#10;OSNXBhvnZKMs+Nz9i6bSNg7bYfJ+C+1xdD+ZshmemHeTcxE9v4PTyLL6lYFjbCpq4es+glTZ3YR/&#10;As2y4pzn+ZjeyfQivTxn8Z+/HOs/AAAA//8DAFBLAwQUAAYACAAAACEA1/pKlOEAAAAJAQAADwAA&#10;AGRycy9kb3ducmV2LnhtbEyPwU7DMBBE70j8g7VIXFBrB6mhhDhVVYEq4AJpAXFz4yWJiNchdtvw&#10;9ywnOI5mNPMmX4yuEwccQutJQzJVIJAqb1uqNWw3d5M5iBANWdN5Qg3fGGBRnJ7kJrP+SM94KGMt&#10;uIRCZjQ0MfaZlKFq0Jkw9T0Sex9+cCayHGppB3PkctfJS6VS6UxLvNCYHlcNVp/l3vHI8vFpvn5R&#10;rw9f7/cXYe1Xt29DqfX52bi8ARFxjH9h+MVndCiYaef3ZIPoNEwSxV+ihvQKBPvXKp2B2HFQJTOQ&#10;RS7/Pyh+AAAA//8DAFBLAQItABQABgAIAAAAIQC2gziS/gAAAOEBAAATAAAAAAAAAAAAAAAAAAAA&#10;AABbQ29udGVudF9UeXBlc10ueG1sUEsBAi0AFAAGAAgAAAAhADj9If/WAAAAlAEAAAsAAAAAAAAA&#10;AAAAAAAALwEAAF9yZWxzLy5yZWxzUEsBAi0AFAAGAAgAAAAhAMb1uL/9AQAAgQQAAA4AAAAAAAAA&#10;AAAAAAAALgIAAGRycy9lMm9Eb2MueG1sUEsBAi0AFAAGAAgAAAAhANf6SpThAAAACQEAAA8AAAAA&#10;AAAAAAAAAAAAVwQAAGRycy9kb3ducmV2LnhtbFBLBQYAAAAABAAEAPMAAABlBQAAAAA=&#10;" fillcolor="white [3201]" strokeweight=".18mm">
                <v:stroke joinstyle="round"/>
                <v:textbox>
                  <w:txbxContent>
                    <w:p w:rsidR="001756CD" w:rsidRDefault="001756CD">
                      <w:pPr>
                        <w:pStyle w:val="FrameContents"/>
                        <w:rPr>
                          <w:color w:val="000000"/>
                        </w:rPr>
                      </w:pPr>
                    </w:p>
                  </w:txbxContent>
                </v:textbox>
                <w10:wrap anchorx="margin"/>
              </v:rect>
            </w:pict>
          </mc:Fallback>
        </mc:AlternateContent>
      </w:r>
      <w:r>
        <w:t xml:space="preserve">This note provides BEIS’s interim position on an issue identified with the current version of the Technical Specifications or their associated content.  Please note this position should be considered as Draft until ratified through TBDG.  </w:t>
      </w:r>
    </w:p>
    <w:p w:rsidR="001756CD" w:rsidRDefault="001756CD">
      <w:pPr>
        <w:pStyle w:val="Narrow"/>
      </w:pPr>
    </w:p>
    <w:tbl>
      <w:tblPr>
        <w:tblStyle w:val="TableGrid"/>
        <w:tblW w:w="9180" w:type="dxa"/>
        <w:tblCellMar>
          <w:top w:w="85" w:type="dxa"/>
          <w:bottom w:w="85" w:type="dxa"/>
        </w:tblCellMar>
        <w:tblLook w:val="04A0" w:firstRow="1" w:lastRow="0" w:firstColumn="1" w:lastColumn="0" w:noHBand="0" w:noVBand="1"/>
      </w:tblPr>
      <w:tblGrid>
        <w:gridCol w:w="3936"/>
        <w:gridCol w:w="5244"/>
      </w:tblGrid>
      <w:tr w:rsidR="001756CD">
        <w:tc>
          <w:tcPr>
            <w:tcW w:w="3936" w:type="dxa"/>
            <w:shd w:val="clear" w:color="auto" w:fill="auto"/>
          </w:tcPr>
          <w:p w:rsidR="001756CD" w:rsidRDefault="002A304A">
            <w:pPr>
              <w:pStyle w:val="NoSpacing"/>
              <w:rPr>
                <w:b/>
              </w:rPr>
            </w:pPr>
            <w:r>
              <w:rPr>
                <w:b/>
              </w:rPr>
              <w:t>Date</w:t>
            </w:r>
          </w:p>
        </w:tc>
        <w:tc>
          <w:tcPr>
            <w:tcW w:w="5243" w:type="dxa"/>
            <w:shd w:val="clear" w:color="auto" w:fill="auto"/>
          </w:tcPr>
          <w:p w:rsidR="001756CD" w:rsidRDefault="00350D1B">
            <w:pPr>
              <w:pStyle w:val="NoSpacing"/>
            </w:pPr>
            <w:r>
              <w:t>2</w:t>
            </w:r>
            <w:r w:rsidR="00F3441D">
              <w:t>2</w:t>
            </w:r>
            <w:r w:rsidR="00DE1BFE">
              <w:t xml:space="preserve"> March 2019</w:t>
            </w:r>
          </w:p>
        </w:tc>
      </w:tr>
      <w:tr w:rsidR="001756CD">
        <w:tc>
          <w:tcPr>
            <w:tcW w:w="3936" w:type="dxa"/>
            <w:shd w:val="clear" w:color="auto" w:fill="auto"/>
          </w:tcPr>
          <w:p w:rsidR="001756CD" w:rsidRDefault="002A304A">
            <w:pPr>
              <w:pStyle w:val="NoSpacing"/>
              <w:rPr>
                <w:b/>
              </w:rPr>
            </w:pPr>
            <w:r>
              <w:rPr>
                <w:b/>
              </w:rPr>
              <w:t>Issue Resolution Proposal</w:t>
            </w:r>
          </w:p>
        </w:tc>
        <w:tc>
          <w:tcPr>
            <w:tcW w:w="5243" w:type="dxa"/>
            <w:shd w:val="clear" w:color="auto" w:fill="auto"/>
          </w:tcPr>
          <w:p w:rsidR="001756CD" w:rsidRDefault="002A304A">
            <w:pPr>
              <w:pStyle w:val="NoSpacing"/>
            </w:pPr>
            <w:r>
              <w:t>IRP</w:t>
            </w:r>
            <w:r w:rsidR="00B7066B">
              <w:t>596</w:t>
            </w:r>
          </w:p>
        </w:tc>
      </w:tr>
      <w:tr w:rsidR="001756CD">
        <w:tc>
          <w:tcPr>
            <w:tcW w:w="3936" w:type="dxa"/>
            <w:shd w:val="clear" w:color="auto" w:fill="auto"/>
          </w:tcPr>
          <w:p w:rsidR="001756CD" w:rsidRDefault="002A304A">
            <w:pPr>
              <w:pStyle w:val="NoSpacing"/>
              <w:rPr>
                <w:b/>
              </w:rPr>
            </w:pPr>
            <w:r>
              <w:rPr>
                <w:b/>
              </w:rPr>
              <w:t>Issues Log ID</w:t>
            </w:r>
          </w:p>
        </w:tc>
        <w:tc>
          <w:tcPr>
            <w:tcW w:w="5243" w:type="dxa"/>
            <w:shd w:val="clear" w:color="auto" w:fill="auto"/>
          </w:tcPr>
          <w:p w:rsidR="001756CD" w:rsidRDefault="002A304A">
            <w:pPr>
              <w:pStyle w:val="NoSpacing"/>
            </w:pPr>
            <w:r>
              <w:t>TS107</w:t>
            </w:r>
            <w:r w:rsidR="00550695">
              <w:t>4</w:t>
            </w:r>
          </w:p>
        </w:tc>
      </w:tr>
      <w:tr w:rsidR="001756CD">
        <w:tc>
          <w:tcPr>
            <w:tcW w:w="3936" w:type="dxa"/>
            <w:shd w:val="clear" w:color="auto" w:fill="auto"/>
          </w:tcPr>
          <w:p w:rsidR="001756CD" w:rsidRDefault="002A304A">
            <w:pPr>
              <w:pStyle w:val="NoSpacing"/>
              <w:rPr>
                <w:b/>
              </w:rPr>
            </w:pPr>
            <w:r>
              <w:rPr>
                <w:b/>
              </w:rPr>
              <w:t>Issue Title</w:t>
            </w:r>
          </w:p>
        </w:tc>
        <w:tc>
          <w:tcPr>
            <w:tcW w:w="5243" w:type="dxa"/>
            <w:shd w:val="clear" w:color="auto" w:fill="auto"/>
          </w:tcPr>
          <w:p w:rsidR="001756CD" w:rsidRDefault="002A304A">
            <w:pPr>
              <w:pStyle w:val="NoSpacing"/>
            </w:pPr>
            <w:proofErr w:type="spellStart"/>
            <w:r>
              <w:t>transCoS</w:t>
            </w:r>
            <w:proofErr w:type="spellEnd"/>
            <w:r>
              <w:t xml:space="preserve"> Execution Counters - CS02b query</w:t>
            </w:r>
          </w:p>
        </w:tc>
      </w:tr>
      <w:tr w:rsidR="001756CD">
        <w:tc>
          <w:tcPr>
            <w:tcW w:w="3936" w:type="dxa"/>
            <w:shd w:val="clear" w:color="auto" w:fill="auto"/>
          </w:tcPr>
          <w:p w:rsidR="001756CD" w:rsidRDefault="002A304A">
            <w:pPr>
              <w:pStyle w:val="NoSpacing"/>
              <w:rPr>
                <w:b/>
              </w:rPr>
            </w:pPr>
            <w:r>
              <w:rPr>
                <w:b/>
              </w:rPr>
              <w:t>Source</w:t>
            </w:r>
          </w:p>
        </w:tc>
        <w:tc>
          <w:tcPr>
            <w:tcW w:w="5243" w:type="dxa"/>
            <w:shd w:val="clear" w:color="auto" w:fill="auto"/>
          </w:tcPr>
          <w:p w:rsidR="001756CD" w:rsidRDefault="007374CD">
            <w:pPr>
              <w:pStyle w:val="NoSpacing"/>
            </w:pPr>
            <w:r>
              <w:t>Toshiba</w:t>
            </w:r>
          </w:p>
        </w:tc>
      </w:tr>
      <w:tr w:rsidR="001756CD">
        <w:tc>
          <w:tcPr>
            <w:tcW w:w="3936" w:type="dxa"/>
            <w:shd w:val="clear" w:color="auto" w:fill="auto"/>
          </w:tcPr>
          <w:p w:rsidR="001756CD" w:rsidRDefault="002A304A">
            <w:pPr>
              <w:pStyle w:val="NoSpacing"/>
              <w:rPr>
                <w:b/>
              </w:rPr>
            </w:pPr>
            <w:r>
              <w:rPr>
                <w:b/>
              </w:rPr>
              <w:t>Date Raised</w:t>
            </w:r>
          </w:p>
        </w:tc>
        <w:tc>
          <w:tcPr>
            <w:tcW w:w="5243" w:type="dxa"/>
            <w:shd w:val="clear" w:color="auto" w:fill="auto"/>
          </w:tcPr>
          <w:p w:rsidR="001756CD" w:rsidRDefault="007374CD">
            <w:pPr>
              <w:pStyle w:val="NoSpacing"/>
            </w:pPr>
            <w:r>
              <w:t>12 February 2019</w:t>
            </w:r>
          </w:p>
        </w:tc>
      </w:tr>
      <w:tr w:rsidR="001756CD">
        <w:trPr>
          <w:trHeight w:val="359"/>
        </w:trPr>
        <w:tc>
          <w:tcPr>
            <w:tcW w:w="3936" w:type="dxa"/>
            <w:shd w:val="clear" w:color="auto" w:fill="auto"/>
          </w:tcPr>
          <w:p w:rsidR="001756CD" w:rsidRDefault="002A304A">
            <w:pPr>
              <w:pStyle w:val="NoSpacing"/>
              <w:rPr>
                <w:b/>
              </w:rPr>
            </w:pPr>
            <w:r>
              <w:rPr>
                <w:b/>
              </w:rPr>
              <w:t>Status</w:t>
            </w:r>
          </w:p>
        </w:tc>
        <w:tc>
          <w:tcPr>
            <w:tcW w:w="5243" w:type="dxa"/>
            <w:shd w:val="clear" w:color="auto" w:fill="auto"/>
          </w:tcPr>
          <w:p w:rsidR="001756CD" w:rsidRDefault="002A304A">
            <w:pPr>
              <w:pStyle w:val="NoSpacing"/>
            </w:pPr>
            <w:r>
              <w:t>Draft 0_1</w:t>
            </w:r>
          </w:p>
        </w:tc>
      </w:tr>
      <w:tr w:rsidR="001756CD">
        <w:tc>
          <w:tcPr>
            <w:tcW w:w="3936" w:type="dxa"/>
            <w:shd w:val="clear" w:color="auto" w:fill="auto"/>
          </w:tcPr>
          <w:p w:rsidR="001756CD" w:rsidRDefault="002A304A">
            <w:pPr>
              <w:pStyle w:val="NoSpacing"/>
              <w:rPr>
                <w:i/>
                <w:sz w:val="16"/>
                <w:szCs w:val="16"/>
              </w:rPr>
            </w:pPr>
            <w:r>
              <w:rPr>
                <w:b/>
              </w:rPr>
              <w:t>Documentation Reference</w:t>
            </w:r>
          </w:p>
        </w:tc>
        <w:tc>
          <w:tcPr>
            <w:tcW w:w="5243" w:type="dxa"/>
            <w:shd w:val="clear" w:color="auto" w:fill="auto"/>
          </w:tcPr>
          <w:p w:rsidR="001756CD" w:rsidRDefault="002A304A">
            <w:pPr>
              <w:pStyle w:val="NoSpacing"/>
            </w:pPr>
            <w:r>
              <w:t>GBCS</w:t>
            </w:r>
            <w:r w:rsidR="00DE1BFE">
              <w:t xml:space="preserve"> v3.1</w:t>
            </w:r>
          </w:p>
        </w:tc>
      </w:tr>
    </w:tbl>
    <w:p w:rsidR="001756CD" w:rsidRDefault="002A304A">
      <w:pPr>
        <w:tabs>
          <w:tab w:val="left" w:pos="2507"/>
        </w:tabs>
        <w:rPr>
          <w:b/>
          <w:sz w:val="24"/>
          <w:szCs w:val="24"/>
        </w:rPr>
      </w:pPr>
      <w:r>
        <w:rPr>
          <w:b/>
          <w:sz w:val="24"/>
          <w:szCs w:val="24"/>
        </w:rPr>
        <w:t>Description:</w:t>
      </w:r>
      <w:r>
        <w:rPr>
          <w:b/>
          <w:sz w:val="24"/>
          <w:szCs w:val="24"/>
        </w:rPr>
        <w:tab/>
      </w:r>
    </w:p>
    <w:p w:rsidR="001756CD" w:rsidRDefault="002A304A">
      <w:r>
        <w:t xml:space="preserve">Do the CS02b Update Security Credentials Use Cases for </w:t>
      </w:r>
      <w:proofErr w:type="spellStart"/>
      <w:r>
        <w:t>transCoSByTransCoS</w:t>
      </w:r>
      <w:proofErr w:type="spellEnd"/>
      <w:r>
        <w:t xml:space="preserve"> and </w:t>
      </w:r>
      <w:proofErr w:type="spellStart"/>
      <w:r>
        <w:t>supplierByTransCoS</w:t>
      </w:r>
      <w:proofErr w:type="spellEnd"/>
      <w:r>
        <w:t xml:space="preserve"> require separate Execution Counters, or only one?</w:t>
      </w:r>
    </w:p>
    <w:p w:rsidR="001756CD" w:rsidRDefault="001756CD"/>
    <w:p w:rsidR="001756CD" w:rsidRDefault="002A304A">
      <w:pPr>
        <w:rPr>
          <w:b/>
          <w:sz w:val="24"/>
          <w:szCs w:val="24"/>
        </w:rPr>
      </w:pPr>
      <w:r>
        <w:rPr>
          <w:b/>
          <w:sz w:val="24"/>
          <w:szCs w:val="24"/>
        </w:rPr>
        <w:t>Proposed Position:</w:t>
      </w:r>
    </w:p>
    <w:p w:rsidR="001756CD" w:rsidRDefault="002A304A">
      <w:r>
        <w:rPr>
          <w:rFonts w:eastAsia="Times New Roman" w:cs="Arial"/>
          <w:color w:val="000000"/>
          <w:szCs w:val="24"/>
          <w:lang w:eastAsia="en-GB"/>
        </w:rPr>
        <w:t xml:space="preserve">As explained at Annex B, Devices may have implemented either a separate anti-replay counter for each of these two use cases, or one shared across them. </w:t>
      </w:r>
      <w:r w:rsidR="00015252">
        <w:rPr>
          <w:rFonts w:eastAsia="Times New Roman" w:cs="Arial"/>
          <w:color w:val="000000"/>
          <w:szCs w:val="24"/>
          <w:lang w:eastAsia="en-GB"/>
        </w:rPr>
        <w:t xml:space="preserve"> </w:t>
      </w:r>
      <w:r>
        <w:rPr>
          <w:rFonts w:eastAsia="Times New Roman" w:cs="Arial"/>
          <w:color w:val="000000"/>
          <w:szCs w:val="24"/>
          <w:lang w:eastAsia="en-GB"/>
        </w:rPr>
        <w:t xml:space="preserve">The proposed position is to add text to </w:t>
      </w:r>
      <w:r w:rsidR="00015252">
        <w:rPr>
          <w:rFonts w:eastAsia="Times New Roman" w:cs="Arial"/>
          <w:color w:val="000000"/>
          <w:szCs w:val="24"/>
          <w:lang w:eastAsia="en-GB"/>
        </w:rPr>
        <w:t xml:space="preserve">GBCS to </w:t>
      </w:r>
      <w:r>
        <w:rPr>
          <w:rFonts w:eastAsia="Times New Roman" w:cs="Arial"/>
          <w:color w:val="000000"/>
          <w:szCs w:val="24"/>
          <w:lang w:eastAsia="en-GB"/>
        </w:rPr>
        <w:t>allow either behaviour.</w:t>
      </w:r>
    </w:p>
    <w:p w:rsidR="001756CD" w:rsidRDefault="002A304A">
      <w:pPr>
        <w:rPr>
          <w:rFonts w:eastAsia="Times New Roman" w:cs="Arial"/>
          <w:color w:val="000000"/>
          <w:szCs w:val="24"/>
          <w:lang w:eastAsia="en-GB"/>
        </w:rPr>
      </w:pPr>
      <w:r>
        <w:rPr>
          <w:rFonts w:eastAsia="Times New Roman" w:cs="Arial"/>
          <w:color w:val="000000"/>
          <w:szCs w:val="24"/>
          <w:lang w:eastAsia="en-GB"/>
        </w:rPr>
        <w:t>Related, drafting changes are pr</w:t>
      </w:r>
      <w:r w:rsidR="006909B0">
        <w:rPr>
          <w:rFonts w:eastAsia="Times New Roman" w:cs="Arial"/>
          <w:color w:val="000000"/>
          <w:szCs w:val="24"/>
          <w:lang w:eastAsia="en-GB"/>
        </w:rPr>
        <w:t>oposed to align the names of 64-</w:t>
      </w:r>
      <w:r>
        <w:rPr>
          <w:rFonts w:eastAsia="Times New Roman" w:cs="Arial"/>
          <w:color w:val="000000"/>
          <w:szCs w:val="24"/>
          <w:lang w:eastAsia="en-GB"/>
        </w:rPr>
        <w:t>bit anti-replay counters between the multiple GBCS terms (Execution Counter, Highest Prior Sequence Number, Protection Against Replay counter, Protection Against Replay number</w:t>
      </w:r>
      <w:r w:rsidR="00F81DC0">
        <w:rPr>
          <w:rFonts w:eastAsia="Times New Roman" w:cs="Arial"/>
          <w:color w:val="000000"/>
          <w:szCs w:val="24"/>
          <w:lang w:eastAsia="en-GB"/>
        </w:rPr>
        <w:t>, replay counter</w:t>
      </w:r>
      <w:r w:rsidR="006E2A7D">
        <w:rPr>
          <w:rFonts w:eastAsia="Times New Roman" w:cs="Arial"/>
          <w:color w:val="000000"/>
          <w:szCs w:val="24"/>
          <w:lang w:eastAsia="en-GB"/>
        </w:rPr>
        <w:t xml:space="preserve"> and </w:t>
      </w:r>
      <w:r w:rsidR="00535B0F" w:rsidRPr="00535B0F">
        <w:rPr>
          <w:rFonts w:eastAsia="Times New Roman" w:cs="Arial"/>
          <w:color w:val="000000"/>
          <w:szCs w:val="24"/>
          <w:lang w:eastAsia="en-GB"/>
        </w:rPr>
        <w:t>sequence counter</w:t>
      </w:r>
      <w:r>
        <w:rPr>
          <w:rFonts w:eastAsia="Times New Roman" w:cs="Arial"/>
          <w:color w:val="000000"/>
          <w:szCs w:val="24"/>
          <w:lang w:eastAsia="en-GB"/>
        </w:rPr>
        <w:t xml:space="preserve">), to use the single term of ‘Execution Counter’ (excluding UTRN </w:t>
      </w:r>
      <w:r w:rsidR="00F81DC0">
        <w:rPr>
          <w:rFonts w:eastAsia="Times New Roman" w:cs="Arial"/>
          <w:color w:val="000000"/>
          <w:szCs w:val="24"/>
          <w:lang w:eastAsia="en-GB"/>
        </w:rPr>
        <w:t>C</w:t>
      </w:r>
      <w:r>
        <w:rPr>
          <w:rFonts w:eastAsia="Times New Roman" w:cs="Arial"/>
          <w:color w:val="000000"/>
          <w:szCs w:val="24"/>
          <w:lang w:eastAsia="en-GB"/>
        </w:rPr>
        <w:t>ounters, which have a different mechanism</w:t>
      </w:r>
      <w:r w:rsidR="00F81DC0">
        <w:rPr>
          <w:rFonts w:eastAsia="Times New Roman" w:cs="Arial"/>
          <w:color w:val="000000"/>
          <w:szCs w:val="24"/>
          <w:lang w:eastAsia="en-GB"/>
        </w:rPr>
        <w:t xml:space="preserve"> and are not 64 bit in length</w:t>
      </w:r>
      <w:r>
        <w:rPr>
          <w:rFonts w:eastAsia="Times New Roman" w:cs="Arial"/>
          <w:color w:val="000000"/>
          <w:szCs w:val="24"/>
          <w:lang w:eastAsia="en-GB"/>
        </w:rPr>
        <w:t xml:space="preserve">). </w:t>
      </w:r>
    </w:p>
    <w:p w:rsidR="001756CD" w:rsidRDefault="001756CD">
      <w:pPr>
        <w:rPr>
          <w:sz w:val="24"/>
          <w:szCs w:val="24"/>
        </w:rPr>
      </w:pPr>
    </w:p>
    <w:p w:rsidR="001756CD" w:rsidRDefault="002A304A">
      <w:pPr>
        <w:rPr>
          <w:b/>
          <w:sz w:val="24"/>
          <w:szCs w:val="24"/>
        </w:rPr>
      </w:pPr>
      <w:r>
        <w:rPr>
          <w:b/>
          <w:sz w:val="24"/>
          <w:szCs w:val="24"/>
        </w:rPr>
        <w:t xml:space="preserve">Interoperability and / or Compatibility </w:t>
      </w:r>
    </w:p>
    <w:p w:rsidR="001756CD" w:rsidRDefault="002A304A">
      <w:pPr>
        <w:rPr>
          <w:rFonts w:eastAsia="Times New Roman" w:cs="Arial"/>
          <w:color w:val="000000"/>
          <w:szCs w:val="24"/>
          <w:lang w:eastAsia="en-GB"/>
        </w:rPr>
      </w:pPr>
      <w:r>
        <w:rPr>
          <w:rFonts w:eastAsia="Times New Roman" w:cs="Arial"/>
          <w:color w:val="000000"/>
          <w:szCs w:val="24"/>
          <w:lang w:eastAsia="en-GB"/>
        </w:rPr>
        <w:t xml:space="preserve">This IRP does not affect the content of any Message, and so does not affect the interactions between Devices and systems. </w:t>
      </w:r>
    </w:p>
    <w:p w:rsidR="001756CD" w:rsidRDefault="002A304A">
      <w:pPr>
        <w:rPr>
          <w:rFonts w:eastAsia="Times New Roman" w:cs="Arial"/>
          <w:color w:val="000000"/>
          <w:szCs w:val="24"/>
          <w:lang w:eastAsia="en-GB"/>
        </w:rPr>
      </w:pPr>
      <w:r>
        <w:rPr>
          <w:rFonts w:eastAsia="Times New Roman" w:cs="Arial"/>
          <w:color w:val="000000"/>
          <w:szCs w:val="24"/>
          <w:lang w:eastAsia="en-GB"/>
        </w:rPr>
        <w:t>This IRP is permissive in recognising two different potential Device behaviours, and so does not require changes to Devices exhibiting either behaviour. The DCC systems that use this functionality (specifically the Transitional CoS part of the DCC), will operate reliably against either Device behaviour.</w:t>
      </w:r>
    </w:p>
    <w:p w:rsidR="001756CD" w:rsidRDefault="001756CD">
      <w:pPr>
        <w:rPr>
          <w:rFonts w:eastAsia="Times New Roman" w:cs="Arial"/>
          <w:color w:val="000000"/>
          <w:szCs w:val="24"/>
          <w:lang w:eastAsia="en-GB"/>
        </w:rPr>
      </w:pPr>
    </w:p>
    <w:p w:rsidR="001756CD" w:rsidRDefault="002A304A">
      <w:pPr>
        <w:spacing w:before="0" w:after="200" w:line="276" w:lineRule="auto"/>
        <w:rPr>
          <w:b/>
          <w:sz w:val="24"/>
          <w:szCs w:val="24"/>
        </w:rPr>
      </w:pPr>
      <w:r>
        <w:br w:type="page"/>
      </w:r>
    </w:p>
    <w:p w:rsidR="001756CD" w:rsidRDefault="002A304A">
      <w:pPr>
        <w:rPr>
          <w:b/>
          <w:sz w:val="24"/>
          <w:szCs w:val="24"/>
        </w:rPr>
      </w:pPr>
      <w:r>
        <w:rPr>
          <w:b/>
          <w:sz w:val="24"/>
          <w:szCs w:val="24"/>
        </w:rPr>
        <w:t>Required Changes to Documentation:</w:t>
      </w:r>
    </w:p>
    <w:p w:rsidR="001756CD" w:rsidRDefault="002A304A" w:rsidP="0029643C">
      <w:pPr>
        <w:pStyle w:val="ListParagraph"/>
        <w:numPr>
          <w:ilvl w:val="0"/>
          <w:numId w:val="2"/>
        </w:numPr>
      </w:pPr>
      <w:r>
        <w:t>In GBCS 13.3.5.3, make the following redlined changes:</w:t>
      </w:r>
    </w:p>
    <w:p w:rsidR="001756CD" w:rsidRDefault="006D2B54">
      <w:r>
        <w:rPr>
          <w:noProof/>
        </w:rPr>
        <w:drawing>
          <wp:inline distT="0" distB="0" distL="0" distR="0" wp14:anchorId="115034CE" wp14:editId="4D068A51">
            <wp:extent cx="5760720" cy="21012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720" cy="2101215"/>
                    </a:xfrm>
                    <a:prstGeom prst="rect">
                      <a:avLst/>
                    </a:prstGeom>
                  </pic:spPr>
                </pic:pic>
              </a:graphicData>
            </a:graphic>
          </wp:inline>
        </w:drawing>
      </w:r>
    </w:p>
    <w:p w:rsidR="00D05B67" w:rsidRDefault="00D05B67" w:rsidP="00D05B67">
      <w:pPr>
        <w:pStyle w:val="ListParagraph"/>
        <w:ind w:left="0"/>
        <w:rPr>
          <w:i/>
          <w:sz w:val="16"/>
          <w:szCs w:val="16"/>
        </w:rPr>
      </w:pPr>
      <w:r>
        <w:rPr>
          <w:i/>
          <w:sz w:val="16"/>
          <w:szCs w:val="16"/>
        </w:rPr>
        <w:t>&lt;run on as is…&gt;</w:t>
      </w:r>
    </w:p>
    <w:p w:rsidR="00D05B67" w:rsidRPr="00D05B67" w:rsidRDefault="00D05B67" w:rsidP="00D05B67">
      <w:pPr>
        <w:pStyle w:val="ListParagraph"/>
        <w:ind w:left="0"/>
        <w:rPr>
          <w:sz w:val="16"/>
          <w:szCs w:val="16"/>
        </w:rPr>
      </w:pPr>
    </w:p>
    <w:p w:rsidR="001756CD" w:rsidRDefault="002A304A" w:rsidP="0029643C">
      <w:pPr>
        <w:pStyle w:val="ListParagraph"/>
        <w:numPr>
          <w:ilvl w:val="0"/>
          <w:numId w:val="2"/>
        </w:numPr>
      </w:pPr>
      <w:r>
        <w:t xml:space="preserve">Additionally, to align terminology for anti-replay counters, make the changes at </w:t>
      </w:r>
      <w:r w:rsidRPr="0029643C">
        <w:rPr>
          <w:b/>
        </w:rPr>
        <w:t>Annex A</w:t>
      </w:r>
      <w:r>
        <w:t>.</w:t>
      </w:r>
    </w:p>
    <w:tbl>
      <w:tblPr>
        <w:tblStyle w:val="TableGrid"/>
        <w:tblW w:w="9062" w:type="dxa"/>
        <w:tblCellMar>
          <w:top w:w="85" w:type="dxa"/>
          <w:bottom w:w="85" w:type="dxa"/>
        </w:tblCellMar>
        <w:tblLook w:val="04A0" w:firstRow="1" w:lastRow="0" w:firstColumn="1" w:lastColumn="0" w:noHBand="0" w:noVBand="1"/>
      </w:tblPr>
      <w:tblGrid>
        <w:gridCol w:w="3865"/>
        <w:gridCol w:w="5197"/>
      </w:tblGrid>
      <w:tr w:rsidR="001756CD" w:rsidTr="0029643C">
        <w:tc>
          <w:tcPr>
            <w:tcW w:w="3865" w:type="dxa"/>
            <w:shd w:val="clear" w:color="auto" w:fill="auto"/>
          </w:tcPr>
          <w:p w:rsidR="001756CD" w:rsidRDefault="002A304A">
            <w:pPr>
              <w:pStyle w:val="NoSpacing"/>
              <w:rPr>
                <w:b/>
              </w:rPr>
            </w:pPr>
            <w:r>
              <w:rPr>
                <w:b/>
              </w:rPr>
              <w:t>TS version for incorporation</w:t>
            </w:r>
          </w:p>
        </w:tc>
        <w:tc>
          <w:tcPr>
            <w:tcW w:w="5197" w:type="dxa"/>
            <w:shd w:val="clear" w:color="auto" w:fill="auto"/>
          </w:tcPr>
          <w:p w:rsidR="001756CD" w:rsidRDefault="002A304A">
            <w:pPr>
              <w:pStyle w:val="NoSpacing"/>
            </w:pPr>
            <w:r>
              <w:t>TBC</w:t>
            </w:r>
          </w:p>
        </w:tc>
      </w:tr>
      <w:tr w:rsidR="001756CD" w:rsidTr="0029643C">
        <w:tc>
          <w:tcPr>
            <w:tcW w:w="3865" w:type="dxa"/>
            <w:shd w:val="clear" w:color="auto" w:fill="auto"/>
          </w:tcPr>
          <w:p w:rsidR="001756CD" w:rsidRDefault="002A304A">
            <w:pPr>
              <w:pStyle w:val="NoSpacing"/>
              <w:rPr>
                <w:b/>
              </w:rPr>
            </w:pPr>
            <w:r>
              <w:rPr>
                <w:b/>
              </w:rPr>
              <w:t>Impact on previous IRPs</w:t>
            </w:r>
          </w:p>
        </w:tc>
        <w:tc>
          <w:tcPr>
            <w:tcW w:w="5197" w:type="dxa"/>
            <w:shd w:val="clear" w:color="auto" w:fill="auto"/>
          </w:tcPr>
          <w:p w:rsidR="001756CD" w:rsidRDefault="00322D22">
            <w:pPr>
              <w:pStyle w:val="NoSpacing"/>
            </w:pPr>
            <w:r>
              <w:t>None</w:t>
            </w:r>
          </w:p>
        </w:tc>
      </w:tr>
      <w:tr w:rsidR="001756CD" w:rsidTr="0029643C">
        <w:tc>
          <w:tcPr>
            <w:tcW w:w="3865" w:type="dxa"/>
            <w:shd w:val="clear" w:color="auto" w:fill="auto"/>
          </w:tcPr>
          <w:p w:rsidR="001756CD" w:rsidRDefault="002A304A">
            <w:pPr>
              <w:pStyle w:val="NoSpacing"/>
              <w:rPr>
                <w:b/>
              </w:rPr>
            </w:pPr>
            <w:r>
              <w:rPr>
                <w:b/>
              </w:rPr>
              <w:t>Attachment(s)</w:t>
            </w:r>
          </w:p>
        </w:tc>
        <w:tc>
          <w:tcPr>
            <w:tcW w:w="5197" w:type="dxa"/>
            <w:shd w:val="clear" w:color="auto" w:fill="auto"/>
          </w:tcPr>
          <w:p w:rsidR="001756CD" w:rsidRDefault="002A304A">
            <w:pPr>
              <w:pStyle w:val="NoSpacing"/>
            </w:pPr>
            <w:r>
              <w:t>None</w:t>
            </w:r>
          </w:p>
          <w:p w:rsidR="001756CD" w:rsidRDefault="001756CD">
            <w:pPr>
              <w:pStyle w:val="NoSpacing"/>
            </w:pPr>
          </w:p>
        </w:tc>
      </w:tr>
    </w:tbl>
    <w:p w:rsidR="001756CD" w:rsidRDefault="001756CD">
      <w:pPr>
        <w:spacing w:before="0" w:after="200" w:line="276" w:lineRule="auto"/>
      </w:pPr>
    </w:p>
    <w:p w:rsidR="001756CD" w:rsidRDefault="002A304A">
      <w:pPr>
        <w:spacing w:before="0" w:after="200" w:line="276" w:lineRule="auto"/>
      </w:pPr>
      <w:r>
        <w:br w:type="page"/>
      </w:r>
    </w:p>
    <w:p w:rsidR="001756CD" w:rsidRDefault="002A304A">
      <w:pPr>
        <w:spacing w:before="0" w:after="200" w:line="276" w:lineRule="auto"/>
        <w:rPr>
          <w:b/>
          <w:u w:val="single"/>
        </w:rPr>
      </w:pPr>
      <w:r>
        <w:rPr>
          <w:b/>
          <w:u w:val="single"/>
        </w:rPr>
        <w:t>Annex A – GBCS alignment of terms</w:t>
      </w:r>
    </w:p>
    <w:p w:rsidR="001756CD" w:rsidRDefault="002A304A">
      <w:r>
        <w:t>Make the following redlined changes:</w:t>
      </w:r>
    </w:p>
    <w:p w:rsidR="001756CD" w:rsidRDefault="002A304A" w:rsidP="0029643C">
      <w:pPr>
        <w:pStyle w:val="ListParagraph"/>
        <w:numPr>
          <w:ilvl w:val="0"/>
          <w:numId w:val="2"/>
        </w:numPr>
      </w:pPr>
      <w:r>
        <w:t>In GBCS 13.2.3.1:</w:t>
      </w:r>
    </w:p>
    <w:p w:rsidR="001756CD" w:rsidRDefault="00D05B67">
      <w:r>
        <w:rPr>
          <w:noProof/>
        </w:rPr>
        <w:drawing>
          <wp:inline distT="0" distB="0" distL="0" distR="0" wp14:anchorId="0EF52A35" wp14:editId="6E60F27E">
            <wp:extent cx="5760720" cy="108331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720" cy="1083310"/>
                    </a:xfrm>
                    <a:prstGeom prst="rect">
                      <a:avLst/>
                    </a:prstGeom>
                  </pic:spPr>
                </pic:pic>
              </a:graphicData>
            </a:graphic>
          </wp:inline>
        </w:drawing>
      </w:r>
    </w:p>
    <w:p w:rsidR="001756CD" w:rsidRDefault="002A304A" w:rsidP="0029643C">
      <w:pPr>
        <w:pStyle w:val="ListParagraph"/>
        <w:numPr>
          <w:ilvl w:val="0"/>
          <w:numId w:val="2"/>
        </w:numPr>
      </w:pPr>
      <w:r>
        <w:t>In GBCS 13.2.3.3</w:t>
      </w:r>
      <w:r w:rsidR="00D143FB">
        <w:t xml:space="preserve"> (note this is shown against the revised text from IRP561, specifically the addition of the reference to Table 13.2.4.4)</w:t>
      </w:r>
      <w:r>
        <w:t>:</w:t>
      </w:r>
    </w:p>
    <w:p w:rsidR="001756CD" w:rsidRDefault="00322D22">
      <w:r>
        <w:rPr>
          <w:noProof/>
        </w:rPr>
        <w:drawing>
          <wp:inline distT="0" distB="0" distL="0" distR="0" wp14:anchorId="1843B14E" wp14:editId="77F5B59B">
            <wp:extent cx="6227422" cy="381663"/>
            <wp:effectExtent l="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419689" cy="393447"/>
                    </a:xfrm>
                    <a:prstGeom prst="rect">
                      <a:avLst/>
                    </a:prstGeom>
                  </pic:spPr>
                </pic:pic>
              </a:graphicData>
            </a:graphic>
          </wp:inline>
        </w:drawing>
      </w:r>
    </w:p>
    <w:p w:rsidR="00D05B67" w:rsidRDefault="00D05B67" w:rsidP="00D05B67">
      <w:pPr>
        <w:pStyle w:val="ListParagraph"/>
        <w:ind w:left="360"/>
      </w:pPr>
    </w:p>
    <w:p w:rsidR="001756CD" w:rsidRDefault="00322D22" w:rsidP="0029643C">
      <w:pPr>
        <w:pStyle w:val="ListParagraph"/>
        <w:numPr>
          <w:ilvl w:val="0"/>
          <w:numId w:val="2"/>
        </w:numPr>
      </w:pPr>
      <w:r>
        <w:t>At</w:t>
      </w:r>
      <w:r w:rsidR="002A304A">
        <w:t xml:space="preserve"> GBCS 13.2.4.4</w:t>
      </w:r>
      <w:r w:rsidR="00280855">
        <w:t>,</w:t>
      </w:r>
      <w:r>
        <w:t xml:space="preserve"> in the Table 13.2.4.4</w:t>
      </w:r>
      <w:r w:rsidR="00D143FB">
        <w:t>:</w:t>
      </w:r>
    </w:p>
    <w:p w:rsidR="001756CD" w:rsidRDefault="00322D22">
      <w:r>
        <w:rPr>
          <w:noProof/>
        </w:rPr>
        <w:drawing>
          <wp:inline distT="0" distB="0" distL="0" distR="0" wp14:anchorId="2844E4F6" wp14:editId="76106956">
            <wp:extent cx="6155162" cy="453224"/>
            <wp:effectExtent l="0" t="0" r="0" b="444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54650" cy="460550"/>
                    </a:xfrm>
                    <a:prstGeom prst="rect">
                      <a:avLst/>
                    </a:prstGeom>
                  </pic:spPr>
                </pic:pic>
              </a:graphicData>
            </a:graphic>
          </wp:inline>
        </w:drawing>
      </w:r>
    </w:p>
    <w:p w:rsidR="00D05B67" w:rsidRDefault="00D05B67" w:rsidP="00D05B67">
      <w:pPr>
        <w:pStyle w:val="ListParagraph"/>
        <w:ind w:left="360"/>
      </w:pPr>
    </w:p>
    <w:p w:rsidR="00376313" w:rsidRDefault="00376313" w:rsidP="00D05B67">
      <w:pPr>
        <w:pStyle w:val="ListParagraph"/>
        <w:numPr>
          <w:ilvl w:val="0"/>
          <w:numId w:val="2"/>
        </w:numPr>
      </w:pPr>
      <w:r>
        <w:t>At GBCS 13.3.4.1, in the Table 13.3.4.1:</w:t>
      </w:r>
    </w:p>
    <w:p w:rsidR="00376313" w:rsidRDefault="00376313" w:rsidP="00376313">
      <w:r>
        <w:rPr>
          <w:noProof/>
        </w:rPr>
        <w:drawing>
          <wp:inline distT="0" distB="0" distL="0" distR="0" wp14:anchorId="6EA5FC61" wp14:editId="70D0040E">
            <wp:extent cx="6133314" cy="898498"/>
            <wp:effectExtent l="0" t="0" r="127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209423" cy="909648"/>
                    </a:xfrm>
                    <a:prstGeom prst="rect">
                      <a:avLst/>
                    </a:prstGeom>
                  </pic:spPr>
                </pic:pic>
              </a:graphicData>
            </a:graphic>
          </wp:inline>
        </w:drawing>
      </w:r>
    </w:p>
    <w:p w:rsidR="00376313" w:rsidRDefault="00376313" w:rsidP="00376313"/>
    <w:p w:rsidR="001756CD" w:rsidRDefault="002A304A" w:rsidP="00D05B67">
      <w:pPr>
        <w:pStyle w:val="ListParagraph"/>
        <w:numPr>
          <w:ilvl w:val="0"/>
          <w:numId w:val="2"/>
        </w:numPr>
      </w:pPr>
      <w:r>
        <w:t>In GBCS 13.3.4.3:</w:t>
      </w:r>
    </w:p>
    <w:p w:rsidR="001756CD" w:rsidRDefault="00322D22">
      <w:r>
        <w:rPr>
          <w:noProof/>
        </w:rPr>
        <w:drawing>
          <wp:inline distT="0" distB="0" distL="0" distR="0" wp14:anchorId="77387FCC" wp14:editId="4D8BB8E8">
            <wp:extent cx="6155055" cy="464072"/>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422900" cy="484267"/>
                    </a:xfrm>
                    <a:prstGeom prst="rect">
                      <a:avLst/>
                    </a:prstGeom>
                  </pic:spPr>
                </pic:pic>
              </a:graphicData>
            </a:graphic>
          </wp:inline>
        </w:drawing>
      </w:r>
    </w:p>
    <w:p w:rsidR="00D05B67" w:rsidRDefault="00D05B67" w:rsidP="00D05B67">
      <w:pPr>
        <w:pStyle w:val="ListParagraph"/>
        <w:ind w:left="360"/>
      </w:pPr>
    </w:p>
    <w:p w:rsidR="00F81DC0" w:rsidRDefault="00322D22" w:rsidP="00D05B67">
      <w:pPr>
        <w:pStyle w:val="ListParagraph"/>
        <w:numPr>
          <w:ilvl w:val="0"/>
          <w:numId w:val="2"/>
        </w:numPr>
      </w:pPr>
      <w:r>
        <w:t>At</w:t>
      </w:r>
      <w:r w:rsidR="00F81DC0">
        <w:t xml:space="preserve"> GBCS 13.3.4.6</w:t>
      </w:r>
      <w:r w:rsidR="00280855">
        <w:t>,</w:t>
      </w:r>
      <w:r>
        <w:t xml:space="preserve"> in the Table 13.3.4.6</w:t>
      </w:r>
      <w:r w:rsidR="00F81DC0">
        <w:t>:</w:t>
      </w:r>
    </w:p>
    <w:p w:rsidR="00F81DC0" w:rsidRDefault="00280855">
      <w:r>
        <w:rPr>
          <w:noProof/>
        </w:rPr>
        <w:drawing>
          <wp:inline distT="0" distB="0" distL="0" distR="0" wp14:anchorId="0441899B" wp14:editId="6148B34F">
            <wp:extent cx="6066104" cy="2854519"/>
            <wp:effectExtent l="0" t="0" r="0" b="317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084581" cy="2863214"/>
                    </a:xfrm>
                    <a:prstGeom prst="rect">
                      <a:avLst/>
                    </a:prstGeom>
                  </pic:spPr>
                </pic:pic>
              </a:graphicData>
            </a:graphic>
          </wp:inline>
        </w:drawing>
      </w:r>
    </w:p>
    <w:p w:rsidR="00F81DC0" w:rsidRDefault="00F81DC0"/>
    <w:p w:rsidR="0097715F" w:rsidRDefault="0097715F" w:rsidP="00D05B67">
      <w:pPr>
        <w:pStyle w:val="ListParagraph"/>
        <w:numPr>
          <w:ilvl w:val="0"/>
          <w:numId w:val="2"/>
        </w:numPr>
      </w:pPr>
      <w:r>
        <w:t>In GBCS 13.3.5.11:</w:t>
      </w:r>
    </w:p>
    <w:p w:rsidR="0097715F" w:rsidRDefault="008417A1" w:rsidP="0097715F">
      <w:r>
        <w:rPr>
          <w:noProof/>
        </w:rPr>
        <w:drawing>
          <wp:inline distT="0" distB="0" distL="0" distR="0" wp14:anchorId="3D13B9C9" wp14:editId="38CB36ED">
            <wp:extent cx="6002976" cy="36129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440700" cy="387634"/>
                    </a:xfrm>
                    <a:prstGeom prst="rect">
                      <a:avLst/>
                    </a:prstGeom>
                  </pic:spPr>
                </pic:pic>
              </a:graphicData>
            </a:graphic>
          </wp:inline>
        </w:drawing>
      </w:r>
    </w:p>
    <w:p w:rsidR="0097715F" w:rsidRDefault="0097715F" w:rsidP="0097715F"/>
    <w:p w:rsidR="001756CD" w:rsidRDefault="00280855" w:rsidP="00D05B67">
      <w:pPr>
        <w:pStyle w:val="ListParagraph"/>
        <w:numPr>
          <w:ilvl w:val="0"/>
          <w:numId w:val="2"/>
        </w:numPr>
      </w:pPr>
      <w:r>
        <w:t>At</w:t>
      </w:r>
      <w:r w:rsidR="002A304A">
        <w:t xml:space="preserve"> GBCS 13.3.5.12</w:t>
      </w:r>
      <w:r>
        <w:t>, in the last line of the Table 13.3.5.12</w:t>
      </w:r>
      <w:r w:rsidR="002A304A">
        <w:t>:</w:t>
      </w:r>
    </w:p>
    <w:p w:rsidR="00280855" w:rsidRDefault="00280855" w:rsidP="00280855">
      <w:r>
        <w:rPr>
          <w:noProof/>
        </w:rPr>
        <w:drawing>
          <wp:inline distT="0" distB="0" distL="0" distR="0" wp14:anchorId="6706F2F1" wp14:editId="10A30762">
            <wp:extent cx="6060694" cy="405516"/>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7084353" cy="474008"/>
                    </a:xfrm>
                    <a:prstGeom prst="rect">
                      <a:avLst/>
                    </a:prstGeom>
                  </pic:spPr>
                </pic:pic>
              </a:graphicData>
            </a:graphic>
          </wp:inline>
        </w:drawing>
      </w:r>
    </w:p>
    <w:p w:rsidR="00280855" w:rsidRDefault="00280855" w:rsidP="00280855">
      <w:pPr>
        <w:pStyle w:val="ListParagraph"/>
        <w:ind w:left="360"/>
      </w:pPr>
    </w:p>
    <w:p w:rsidR="001756CD" w:rsidRDefault="002A304A" w:rsidP="00D05B67">
      <w:pPr>
        <w:pStyle w:val="ListParagraph"/>
        <w:numPr>
          <w:ilvl w:val="0"/>
          <w:numId w:val="2"/>
        </w:numPr>
      </w:pPr>
      <w:r>
        <w:t>In GBCS 18.3.1:</w:t>
      </w:r>
    </w:p>
    <w:p w:rsidR="001756CD" w:rsidRDefault="00280855">
      <w:r>
        <w:rPr>
          <w:noProof/>
        </w:rPr>
        <w:drawing>
          <wp:inline distT="0" distB="0" distL="0" distR="0" wp14:anchorId="595EE96E" wp14:editId="292E0EF5">
            <wp:extent cx="5971430" cy="947187"/>
            <wp:effectExtent l="0" t="0" r="0" b="571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085638" cy="965303"/>
                    </a:xfrm>
                    <a:prstGeom prst="rect">
                      <a:avLst/>
                    </a:prstGeom>
                  </pic:spPr>
                </pic:pic>
              </a:graphicData>
            </a:graphic>
          </wp:inline>
        </w:drawing>
      </w:r>
    </w:p>
    <w:p w:rsidR="00D05B67" w:rsidRDefault="00D05B67" w:rsidP="00D05B67">
      <w:pPr>
        <w:pStyle w:val="ListParagraph"/>
        <w:ind w:left="360"/>
      </w:pPr>
    </w:p>
    <w:p w:rsidR="001756CD" w:rsidRDefault="00280855" w:rsidP="00D05B67">
      <w:pPr>
        <w:pStyle w:val="ListParagraph"/>
        <w:numPr>
          <w:ilvl w:val="0"/>
          <w:numId w:val="2"/>
        </w:numPr>
      </w:pPr>
      <w:r>
        <w:t>At</w:t>
      </w:r>
      <w:r w:rsidR="002A304A">
        <w:t xml:space="preserve"> GBCS Table 18.3.1</w:t>
      </w:r>
      <w:r>
        <w:t>, in Table 18.3.1</w:t>
      </w:r>
      <w:r w:rsidR="002A304A">
        <w:t>b</w:t>
      </w:r>
    </w:p>
    <w:p w:rsidR="001756CD" w:rsidRDefault="00280855">
      <w:r>
        <w:rPr>
          <w:noProof/>
        </w:rPr>
        <w:drawing>
          <wp:inline distT="0" distB="0" distL="0" distR="0" wp14:anchorId="6700995B" wp14:editId="1D08156C">
            <wp:extent cx="5979381" cy="980745"/>
            <wp:effectExtent l="0" t="0" r="254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053766" cy="992946"/>
                    </a:xfrm>
                    <a:prstGeom prst="rect">
                      <a:avLst/>
                    </a:prstGeom>
                  </pic:spPr>
                </pic:pic>
              </a:graphicData>
            </a:graphic>
          </wp:inline>
        </w:drawing>
      </w:r>
    </w:p>
    <w:p w:rsidR="00D05B67" w:rsidRDefault="00D05B67" w:rsidP="00D05B67">
      <w:pPr>
        <w:pStyle w:val="ListParagraph"/>
        <w:ind w:left="360"/>
      </w:pPr>
    </w:p>
    <w:p w:rsidR="001756CD" w:rsidRDefault="00280855" w:rsidP="00D05B67">
      <w:pPr>
        <w:pStyle w:val="ListParagraph"/>
        <w:numPr>
          <w:ilvl w:val="0"/>
          <w:numId w:val="2"/>
        </w:numPr>
      </w:pPr>
      <w:r>
        <w:t xml:space="preserve">At GBCS </w:t>
      </w:r>
      <w:r w:rsidR="00D7348D">
        <w:t>1</w:t>
      </w:r>
      <w:r>
        <w:t xml:space="preserve">8.3.2, in Table </w:t>
      </w:r>
      <w:r w:rsidR="002A304A">
        <w:t>18.3.2.b</w:t>
      </w:r>
    </w:p>
    <w:p w:rsidR="00D7348D" w:rsidRDefault="00D7348D" w:rsidP="00D7348D">
      <w:r>
        <w:rPr>
          <w:noProof/>
        </w:rPr>
        <w:drawing>
          <wp:inline distT="0" distB="0" distL="0" distR="0" wp14:anchorId="5A2A9026" wp14:editId="2DE8D953">
            <wp:extent cx="6011184" cy="500932"/>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63139" cy="513595"/>
                    </a:xfrm>
                    <a:prstGeom prst="rect">
                      <a:avLst/>
                    </a:prstGeom>
                  </pic:spPr>
                </pic:pic>
              </a:graphicData>
            </a:graphic>
          </wp:inline>
        </w:drawing>
      </w:r>
    </w:p>
    <w:p w:rsidR="00D7348D" w:rsidRPr="00D7348D" w:rsidRDefault="00D7348D" w:rsidP="00D7348D">
      <w:r w:rsidRPr="00D7348D">
        <w:t>And</w:t>
      </w:r>
      <w:r>
        <w:t>:</w:t>
      </w:r>
    </w:p>
    <w:p w:rsidR="00D7348D" w:rsidRPr="00280855" w:rsidRDefault="00D7348D" w:rsidP="00D7348D">
      <w:pPr>
        <w:rPr>
          <w:sz w:val="16"/>
          <w:szCs w:val="16"/>
        </w:rPr>
      </w:pPr>
      <w:r>
        <w:rPr>
          <w:noProof/>
        </w:rPr>
        <w:drawing>
          <wp:inline distT="0" distB="0" distL="0" distR="0" wp14:anchorId="58E5FE9F" wp14:editId="0A65FFD1">
            <wp:extent cx="5995284" cy="295403"/>
            <wp:effectExtent l="0" t="0" r="571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623492" cy="326356"/>
                    </a:xfrm>
                    <a:prstGeom prst="rect">
                      <a:avLst/>
                    </a:prstGeom>
                  </pic:spPr>
                </pic:pic>
              </a:graphicData>
            </a:graphic>
          </wp:inline>
        </w:drawing>
      </w:r>
    </w:p>
    <w:p w:rsidR="001756CD" w:rsidRDefault="001756CD"/>
    <w:p w:rsidR="001756CD" w:rsidRDefault="002A304A" w:rsidP="00D05B67">
      <w:pPr>
        <w:pStyle w:val="ListParagraph"/>
        <w:numPr>
          <w:ilvl w:val="0"/>
          <w:numId w:val="2"/>
        </w:numPr>
      </w:pPr>
      <w:r>
        <w:t>In GBCS</w:t>
      </w:r>
      <w:r w:rsidR="00561AFB">
        <w:t xml:space="preserve"> Glossary, at Section</w:t>
      </w:r>
      <w:r>
        <w:t xml:space="preserve"> 21:</w:t>
      </w:r>
    </w:p>
    <w:p w:rsidR="001756CD" w:rsidRDefault="005924EF">
      <w:r>
        <w:rPr>
          <w:noProof/>
        </w:rPr>
        <w:drawing>
          <wp:inline distT="0" distB="0" distL="0" distR="0" wp14:anchorId="0613B78A" wp14:editId="3D74EEF7">
            <wp:extent cx="5760720" cy="45974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760720" cy="459740"/>
                    </a:xfrm>
                    <a:prstGeom prst="rect">
                      <a:avLst/>
                    </a:prstGeom>
                  </pic:spPr>
                </pic:pic>
              </a:graphicData>
            </a:graphic>
          </wp:inline>
        </w:drawing>
      </w:r>
    </w:p>
    <w:p w:rsidR="005924EF" w:rsidRDefault="005924EF"/>
    <w:p w:rsidR="001756CD" w:rsidRDefault="002A304A" w:rsidP="005924EF">
      <w:pPr>
        <w:pStyle w:val="ListParagraph"/>
        <w:numPr>
          <w:ilvl w:val="0"/>
          <w:numId w:val="2"/>
        </w:numPr>
      </w:pPr>
      <w:r>
        <w:t>In GBCS</w:t>
      </w:r>
      <w:r w:rsidR="005924EF">
        <w:t xml:space="preserve"> Glossary,</w:t>
      </w:r>
      <w:r>
        <w:t xml:space="preserve"> Section 21, remove the Glossary definition for ‘Highest Prior Sequence Number’</w:t>
      </w:r>
      <w:r w:rsidR="005924EF">
        <w:t>, as shown</w:t>
      </w:r>
      <w:r>
        <w:t>.</w:t>
      </w:r>
    </w:p>
    <w:p w:rsidR="005924EF" w:rsidRDefault="005924EF" w:rsidP="005924EF">
      <w:r>
        <w:rPr>
          <w:noProof/>
        </w:rPr>
        <w:drawing>
          <wp:inline distT="0" distB="0" distL="0" distR="0" wp14:anchorId="4A005EA9" wp14:editId="0B3C4693">
            <wp:extent cx="5760720" cy="454660"/>
            <wp:effectExtent l="0" t="0" r="0" b="254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760720" cy="454660"/>
                    </a:xfrm>
                    <a:prstGeom prst="rect">
                      <a:avLst/>
                    </a:prstGeom>
                  </pic:spPr>
                </pic:pic>
              </a:graphicData>
            </a:graphic>
          </wp:inline>
        </w:drawing>
      </w:r>
    </w:p>
    <w:p w:rsidR="001756CD" w:rsidRDefault="002A304A">
      <w:pPr>
        <w:spacing w:before="0" w:after="200" w:line="276" w:lineRule="auto"/>
      </w:pPr>
      <w:r>
        <w:br w:type="page"/>
      </w:r>
    </w:p>
    <w:p w:rsidR="001756CD" w:rsidRDefault="002A304A">
      <w:pPr>
        <w:spacing w:before="0" w:after="200" w:line="276" w:lineRule="auto"/>
        <w:rPr>
          <w:b/>
          <w:u w:val="single"/>
        </w:rPr>
      </w:pPr>
      <w:r>
        <w:rPr>
          <w:b/>
          <w:u w:val="single"/>
        </w:rPr>
        <w:t>Annex B – transitionalCoS anti-replay counters</w:t>
      </w:r>
    </w:p>
    <w:p w:rsidR="001756CD" w:rsidRDefault="002A304A">
      <w:pPr>
        <w:spacing w:before="0" w:after="200" w:line="276" w:lineRule="auto"/>
      </w:pPr>
      <w:r>
        <w:t>GBCS 4.3.1.5 requires that:</w:t>
      </w:r>
    </w:p>
    <w:p w:rsidR="001756CD" w:rsidRDefault="00D05B67">
      <w:pPr>
        <w:spacing w:before="0" w:after="200" w:line="276" w:lineRule="auto"/>
        <w:ind w:left="720"/>
      </w:pPr>
      <w:r>
        <w:t>‘</w:t>
      </w:r>
      <w:r w:rsidR="002A304A" w:rsidRPr="00D05B67">
        <w:rPr>
          <w:i/>
        </w:rPr>
        <w:t>For each type of Command that a Device supports, and that is marked as 'Protection Against Replay Required' in the Use Case Reference tab of the Mapping Table, the Device shall have the capability to store an Originator Counter value for each Remote Party Role allowed to request execution of that type of Command.</w:t>
      </w:r>
      <w:r>
        <w:t>’</w:t>
      </w:r>
    </w:p>
    <w:p w:rsidR="001756CD" w:rsidRDefault="002A304A">
      <w:pPr>
        <w:spacing w:before="0" w:after="200" w:line="276" w:lineRule="auto"/>
      </w:pPr>
      <w:r>
        <w:t>The question that arises is what constitutes a ‘type of Command’, given that there are two GBCS mechanisms to identify a ‘type of Command’:</w:t>
      </w:r>
    </w:p>
    <w:p w:rsidR="001756CD" w:rsidRDefault="002A304A" w:rsidP="00D05B67">
      <w:pPr>
        <w:pStyle w:val="ListParagraph"/>
        <w:numPr>
          <w:ilvl w:val="0"/>
          <w:numId w:val="5"/>
        </w:numPr>
        <w:spacing w:before="0" w:after="200" w:line="276" w:lineRule="auto"/>
      </w:pPr>
      <w:r>
        <w:t>Message Code</w:t>
      </w:r>
    </w:p>
    <w:p w:rsidR="001756CD" w:rsidRDefault="002A304A" w:rsidP="00D05B67">
      <w:pPr>
        <w:pStyle w:val="ListParagraph"/>
        <w:numPr>
          <w:ilvl w:val="0"/>
          <w:numId w:val="5"/>
        </w:numPr>
        <w:spacing w:before="0" w:after="200" w:line="276" w:lineRule="auto"/>
      </w:pPr>
      <w:r>
        <w:t>Use Case name</w:t>
      </w:r>
    </w:p>
    <w:p w:rsidR="001756CD" w:rsidRDefault="002A304A">
      <w:pPr>
        <w:spacing w:before="0" w:after="200" w:line="276" w:lineRule="auto"/>
      </w:pPr>
      <w:r>
        <w:t>For all Use Cases which include a Command (so excluding those relating to Alerts), there is a one-to-one mapping between Message Code and Use Case name, and so the ‘types of Command’ is the same regardless of how Commands are identified.</w:t>
      </w:r>
    </w:p>
    <w:p w:rsidR="001756CD" w:rsidRDefault="002A304A">
      <w:pPr>
        <w:spacing w:before="0" w:after="200" w:line="276" w:lineRule="auto"/>
      </w:pPr>
      <w:r>
        <w:t xml:space="preserve">The exception is ‘CS02b Update Security Credentials’ where, as per GBCS 13.3.5.2, there are 8 Message Codes. </w:t>
      </w:r>
      <w:r w:rsidR="00D05B67">
        <w:t xml:space="preserve"> </w:t>
      </w:r>
      <w:r>
        <w:t>Thus, there are two possible interpretations:</w:t>
      </w:r>
    </w:p>
    <w:p w:rsidR="001756CD" w:rsidRDefault="002A304A">
      <w:pPr>
        <w:spacing w:before="0" w:after="200" w:line="276" w:lineRule="auto"/>
      </w:pPr>
      <w:r w:rsidRPr="00D05B67">
        <w:rPr>
          <w:b/>
        </w:rPr>
        <w:t>Interpretation 1</w:t>
      </w:r>
      <w:r>
        <w:t xml:space="preserve"> - Each of the 8 Message Codes are different ‘types of Command’. Given that (as per 13.3.5.5) only one Remote Party Role can use each of those 8, 8 anti-replay counters are required.</w:t>
      </w:r>
    </w:p>
    <w:p w:rsidR="001756CD" w:rsidRDefault="002A304A">
      <w:pPr>
        <w:spacing w:before="0" w:after="200" w:line="276" w:lineRule="auto"/>
      </w:pPr>
      <w:r w:rsidRPr="00D05B67">
        <w:rPr>
          <w:b/>
        </w:rPr>
        <w:t>Interpretation 2</w:t>
      </w:r>
      <w:r>
        <w:t xml:space="preserve"> - CS02b is a single ‘type of Command’. </w:t>
      </w:r>
      <w:r w:rsidR="00D05B67">
        <w:t xml:space="preserve"> </w:t>
      </w:r>
      <w:r>
        <w:t xml:space="preserve">In this interpretation, the number of anti-replay counters required is determined by the number of Remote Party Roles that can request execution of CS02b Commands. </w:t>
      </w:r>
      <w:r w:rsidR="00D05B67">
        <w:t xml:space="preserve"> </w:t>
      </w:r>
      <w:r>
        <w:t xml:space="preserve">As per 13.3.5.5, there are 7 such Remote Party Roles, and so 7 anti-replay counters are required. </w:t>
      </w:r>
      <w:r w:rsidR="00D05B67">
        <w:t xml:space="preserve"> </w:t>
      </w:r>
      <w:r>
        <w:t>Further, 13.3.5.3 only requires one anti-replay counter per Remote Party Role.</w:t>
      </w:r>
    </w:p>
    <w:p w:rsidR="001756CD" w:rsidRDefault="002A304A">
      <w:pPr>
        <w:spacing w:before="0" w:after="200" w:line="276" w:lineRule="auto"/>
      </w:pPr>
      <w:r>
        <w:t>The specific difference between 7 and 8 arises in relation to transitionalCoS (a single Remote Party Role), which is allowed to use CS02b Commands with two different Message Codes:</w:t>
      </w:r>
    </w:p>
    <w:p w:rsidR="001756CD" w:rsidRDefault="002A304A" w:rsidP="00D05B67">
      <w:pPr>
        <w:spacing w:before="0" w:after="60" w:line="276" w:lineRule="auto"/>
      </w:pPr>
      <w:r>
        <w:t>1.</w:t>
      </w:r>
      <w:r>
        <w:tab/>
      </w:r>
      <w:proofErr w:type="spellStart"/>
      <w:r>
        <w:t>transCoSByTransCoS</w:t>
      </w:r>
      <w:proofErr w:type="spellEnd"/>
      <w:r>
        <w:t xml:space="preserve"> (Message Code = 0x0106)</w:t>
      </w:r>
    </w:p>
    <w:p w:rsidR="001756CD" w:rsidRDefault="002A304A" w:rsidP="00D05B67">
      <w:pPr>
        <w:spacing w:before="0" w:after="100" w:afterAutospacing="1" w:line="276" w:lineRule="auto"/>
      </w:pPr>
      <w:r>
        <w:t>2.</w:t>
      </w:r>
      <w:r>
        <w:tab/>
      </w:r>
      <w:proofErr w:type="spellStart"/>
      <w:r>
        <w:t>supplierByTransCoS</w:t>
      </w:r>
      <w:proofErr w:type="spellEnd"/>
      <w:r>
        <w:t xml:space="preserve"> (Message Code = 0x0107)</w:t>
      </w:r>
    </w:p>
    <w:p w:rsidR="001756CD" w:rsidRDefault="002A304A" w:rsidP="00D05B67">
      <w:pPr>
        <w:spacing w:before="0" w:after="100" w:afterAutospacing="1" w:line="276" w:lineRule="auto"/>
      </w:pPr>
      <w:r>
        <w:t>Therefore, there are readings of the Technical Specifications that would allow a Device to implement either a shared anti-replay counter across these two Message Codes, or two separate ones.</w:t>
      </w:r>
      <w:r w:rsidR="00D05B67">
        <w:t xml:space="preserve"> </w:t>
      </w:r>
      <w:r>
        <w:t xml:space="preserve"> As explained earlier, there are no other Use Cases where this is so.</w:t>
      </w:r>
    </w:p>
    <w:sectPr w:rsidR="001756CD">
      <w:headerReference w:type="even" r:id="rId23"/>
      <w:headerReference w:type="default" r:id="rId24"/>
      <w:footerReference w:type="even" r:id="rId25"/>
      <w:footerReference w:type="default" r:id="rId26"/>
      <w:headerReference w:type="first" r:id="rId27"/>
      <w:footerReference w:type="first" r:id="rId28"/>
      <w:pgSz w:w="11906" w:h="16838"/>
      <w:pgMar w:top="1242" w:right="1416" w:bottom="720" w:left="1418" w:header="708" w:footer="72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10C1F" w:rsidRDefault="00410C1F">
      <w:pPr>
        <w:spacing w:before="0" w:after="0"/>
      </w:pPr>
      <w:r>
        <w:separator/>
      </w:r>
    </w:p>
  </w:endnote>
  <w:endnote w:type="continuationSeparator" w:id="0">
    <w:p w:rsidR="00410C1F" w:rsidRDefault="00410C1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1"/>
    <w:family w:val="swiss"/>
    <w:pitch w:val="variable"/>
  </w:font>
  <w:font w:name="Droid Sans Devanagari">
    <w:altName w:val="Segoe U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D2B54" w:rsidRDefault="006D2B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D2B54" w:rsidRDefault="006D2B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D2B54" w:rsidRDefault="006D2B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10C1F" w:rsidRDefault="00410C1F">
      <w:pPr>
        <w:spacing w:before="0" w:after="0"/>
      </w:pPr>
      <w:r>
        <w:separator/>
      </w:r>
    </w:p>
  </w:footnote>
  <w:footnote w:type="continuationSeparator" w:id="0">
    <w:p w:rsidR="00410C1F" w:rsidRDefault="00410C1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D2B54" w:rsidRDefault="006D2B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756CD" w:rsidRDefault="001756CD">
    <w:pPr>
      <w:pStyle w:val="Header"/>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D2B54" w:rsidRDefault="006D2B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A64931"/>
    <w:multiLevelType w:val="hybridMultilevel"/>
    <w:tmpl w:val="4AEED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CA93AFB"/>
    <w:multiLevelType w:val="multilevel"/>
    <w:tmpl w:val="D3C6E8D2"/>
    <w:lvl w:ilvl="0">
      <w:start w:val="16"/>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4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4699"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74003C3"/>
    <w:multiLevelType w:val="hybridMultilevel"/>
    <w:tmpl w:val="E4E23434"/>
    <w:lvl w:ilvl="0" w:tplc="C9CAE8BA">
      <w:numFmt w:val="bullet"/>
      <w:lvlText w:val="-"/>
      <w:lvlJc w:val="left"/>
      <w:pPr>
        <w:ind w:left="720" w:hanging="72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EF26DED"/>
    <w:multiLevelType w:val="hybridMultilevel"/>
    <w:tmpl w:val="FE3E5316"/>
    <w:lvl w:ilvl="0" w:tplc="08090001">
      <w:start w:val="1"/>
      <w:numFmt w:val="bullet"/>
      <w:lvlText w:val=""/>
      <w:lvlJc w:val="left"/>
      <w:pPr>
        <w:ind w:left="720" w:hanging="72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5E621BD3"/>
    <w:multiLevelType w:val="hybridMultilevel"/>
    <w:tmpl w:val="C7FA6F2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6CD"/>
    <w:rsid w:val="00015252"/>
    <w:rsid w:val="00044E2A"/>
    <w:rsid w:val="000B26E5"/>
    <w:rsid w:val="0015696B"/>
    <w:rsid w:val="001756CD"/>
    <w:rsid w:val="00235FCA"/>
    <w:rsid w:val="00280855"/>
    <w:rsid w:val="0029643C"/>
    <w:rsid w:val="002A304A"/>
    <w:rsid w:val="002F06E3"/>
    <w:rsid w:val="00322D22"/>
    <w:rsid w:val="00350D1B"/>
    <w:rsid w:val="00376313"/>
    <w:rsid w:val="00410C1F"/>
    <w:rsid w:val="00420F25"/>
    <w:rsid w:val="00535B0F"/>
    <w:rsid w:val="00550695"/>
    <w:rsid w:val="00561AFB"/>
    <w:rsid w:val="005924EF"/>
    <w:rsid w:val="00636B6F"/>
    <w:rsid w:val="006909B0"/>
    <w:rsid w:val="006D2B54"/>
    <w:rsid w:val="006E2A7D"/>
    <w:rsid w:val="007374CD"/>
    <w:rsid w:val="007957FA"/>
    <w:rsid w:val="008417A1"/>
    <w:rsid w:val="0097715F"/>
    <w:rsid w:val="009A0AD5"/>
    <w:rsid w:val="00B7066B"/>
    <w:rsid w:val="00C80BB4"/>
    <w:rsid w:val="00CA39AA"/>
    <w:rsid w:val="00D05B67"/>
    <w:rsid w:val="00D07A72"/>
    <w:rsid w:val="00D143FB"/>
    <w:rsid w:val="00D65F76"/>
    <w:rsid w:val="00D7348D"/>
    <w:rsid w:val="00D84D8B"/>
    <w:rsid w:val="00DE1BFE"/>
    <w:rsid w:val="00E44B7F"/>
    <w:rsid w:val="00F3441D"/>
    <w:rsid w:val="00F81DC0"/>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F0F5DF"/>
  <w15:docId w15:val="{CD227891-296F-40A0-8AE1-0235FE114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6094"/>
    <w:pPr>
      <w:spacing w:before="120" w:after="120"/>
    </w:pPr>
    <w:rPr>
      <w:rFonts w:ascii="Arial" w:hAnsi="Arial"/>
    </w:rPr>
  </w:style>
  <w:style w:type="paragraph" w:styleId="Heading1">
    <w:name w:val="heading 1"/>
    <w:basedOn w:val="Normal"/>
    <w:next w:val="Normal"/>
    <w:link w:val="Heading1Char"/>
    <w:uiPriority w:val="9"/>
    <w:qFormat/>
    <w:rsid w:val="002C3EA2"/>
    <w:pPr>
      <w:keepNext/>
      <w:pageBreakBefore/>
      <w:numPr>
        <w:numId w:val="1"/>
      </w:numPr>
      <w:spacing w:before="0"/>
      <w:outlineLvl w:val="0"/>
    </w:pPr>
    <w:rPr>
      <w:rFonts w:ascii="Arial Bold" w:eastAsiaTheme="majorEastAsia" w:hAnsi="Arial Bold" w:cs="Arial"/>
      <w:b/>
      <w:bCs/>
      <w:color w:val="009EE3"/>
      <w:sz w:val="48"/>
      <w:szCs w:val="48"/>
    </w:rPr>
  </w:style>
  <w:style w:type="paragraph" w:styleId="Heading2">
    <w:name w:val="heading 2"/>
    <w:basedOn w:val="Normal"/>
    <w:next w:val="Normal"/>
    <w:link w:val="Heading2Char"/>
    <w:uiPriority w:val="9"/>
    <w:unhideWhenUsed/>
    <w:qFormat/>
    <w:rsid w:val="002C3EA2"/>
    <w:pPr>
      <w:keepNext/>
      <w:keepLines/>
      <w:numPr>
        <w:ilvl w:val="1"/>
        <w:numId w:val="1"/>
      </w:numPr>
      <w:outlineLvl w:val="1"/>
    </w:pPr>
    <w:rPr>
      <w:rFonts w:eastAsiaTheme="majorEastAsia" w:cs="Arial"/>
      <w:b/>
      <w:bCs/>
      <w:color w:val="009EE3"/>
      <w:sz w:val="32"/>
      <w:szCs w:val="32"/>
    </w:rPr>
  </w:style>
  <w:style w:type="paragraph" w:styleId="Heading3">
    <w:name w:val="heading 3"/>
    <w:basedOn w:val="Normal"/>
    <w:next w:val="Normal"/>
    <w:link w:val="Heading3Char"/>
    <w:uiPriority w:val="9"/>
    <w:unhideWhenUsed/>
    <w:qFormat/>
    <w:rsid w:val="002C3EA2"/>
    <w:pPr>
      <w:keepNext/>
      <w:keepLines/>
      <w:numPr>
        <w:ilvl w:val="2"/>
        <w:numId w:val="1"/>
      </w:numPr>
      <w:outlineLvl w:val="2"/>
    </w:pPr>
    <w:rPr>
      <w:rFonts w:ascii="Arial Bold" w:eastAsiaTheme="majorEastAsia" w:hAnsi="Arial Bold" w:cs="Arial"/>
      <w:b/>
      <w:bCs/>
      <w:color w:val="009EE3"/>
      <w:sz w:val="28"/>
      <w:szCs w:val="28"/>
    </w:rPr>
  </w:style>
  <w:style w:type="paragraph" w:styleId="Heading4">
    <w:name w:val="heading 4"/>
    <w:basedOn w:val="Normal"/>
    <w:next w:val="Normal"/>
    <w:link w:val="Heading4Char"/>
    <w:uiPriority w:val="9"/>
    <w:unhideWhenUsed/>
    <w:qFormat/>
    <w:rsid w:val="002C3EA2"/>
    <w:pPr>
      <w:keepNext/>
      <w:keepLines/>
      <w:numPr>
        <w:ilvl w:val="3"/>
        <w:numId w:val="1"/>
      </w:numPr>
      <w:outlineLvl w:val="3"/>
    </w:pPr>
    <w:rPr>
      <w:rFonts w:ascii="Arial Bold" w:eastAsiaTheme="majorEastAsia" w:hAnsi="Arial Bold" w:cs="Arial"/>
      <w:b/>
      <w:bCs/>
      <w:i/>
      <w:iCs/>
      <w:color w:val="009EE3"/>
      <w:szCs w:val="24"/>
    </w:rPr>
  </w:style>
  <w:style w:type="paragraph" w:styleId="Heading5">
    <w:name w:val="heading 5"/>
    <w:basedOn w:val="Normal"/>
    <w:next w:val="Normal"/>
    <w:link w:val="Heading5Char"/>
    <w:uiPriority w:val="9"/>
    <w:unhideWhenUsed/>
    <w:qFormat/>
    <w:rsid w:val="002C3EA2"/>
    <w:pPr>
      <w:keepNext/>
      <w:keepLines/>
      <w:numPr>
        <w:ilvl w:val="4"/>
        <w:numId w:val="1"/>
      </w:numPr>
      <w:outlineLvl w:val="4"/>
    </w:pPr>
    <w:rPr>
      <w:rFonts w:eastAsiaTheme="majorEastAsia" w:cstheme="majorBidi"/>
      <w:i/>
      <w:color w:val="009EE3"/>
      <w:szCs w:val="24"/>
    </w:rPr>
  </w:style>
  <w:style w:type="paragraph" w:styleId="Heading6">
    <w:name w:val="heading 6"/>
    <w:basedOn w:val="Normal"/>
    <w:next w:val="Normal"/>
    <w:link w:val="Heading6Char"/>
    <w:uiPriority w:val="9"/>
    <w:unhideWhenUsed/>
    <w:qFormat/>
    <w:rsid w:val="002C3EA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szCs w:val="24"/>
    </w:rPr>
  </w:style>
  <w:style w:type="paragraph" w:styleId="Heading7">
    <w:name w:val="heading 7"/>
    <w:basedOn w:val="Normal"/>
    <w:next w:val="Normal"/>
    <w:link w:val="Heading7Char"/>
    <w:uiPriority w:val="9"/>
    <w:unhideWhenUsed/>
    <w:qFormat/>
    <w:rsid w:val="002C3EA2"/>
    <w:pPr>
      <w:keepNext/>
      <w:keepLines/>
      <w:numPr>
        <w:ilvl w:val="6"/>
        <w:numId w:val="1"/>
      </w:numPr>
      <w:spacing w:before="200" w:after="0"/>
      <w:outlineLvl w:val="6"/>
    </w:pPr>
    <w:rPr>
      <w:rFonts w:asciiTheme="majorHAnsi" w:eastAsiaTheme="majorEastAsia" w:hAnsiTheme="majorHAnsi" w:cstheme="majorBidi"/>
      <w:i/>
      <w:iCs/>
      <w:color w:val="404040" w:themeColor="text1" w:themeTint="BF"/>
      <w:szCs w:val="24"/>
    </w:rPr>
  </w:style>
  <w:style w:type="paragraph" w:styleId="Heading8">
    <w:name w:val="heading 8"/>
    <w:basedOn w:val="Normal"/>
    <w:next w:val="Normal"/>
    <w:link w:val="Heading8Char"/>
    <w:uiPriority w:val="9"/>
    <w:unhideWhenUsed/>
    <w:qFormat/>
    <w:rsid w:val="002C3EA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2C3EA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1A1E90"/>
  </w:style>
  <w:style w:type="character" w:customStyle="1" w:styleId="FooterChar">
    <w:name w:val="Footer Char"/>
    <w:basedOn w:val="DefaultParagraphFont"/>
    <w:link w:val="Footer"/>
    <w:uiPriority w:val="99"/>
    <w:qFormat/>
    <w:rsid w:val="001A1E90"/>
  </w:style>
  <w:style w:type="character" w:customStyle="1" w:styleId="BalloonTextChar">
    <w:name w:val="Balloon Text Char"/>
    <w:basedOn w:val="DefaultParagraphFont"/>
    <w:link w:val="BalloonText"/>
    <w:uiPriority w:val="99"/>
    <w:semiHidden/>
    <w:qFormat/>
    <w:rsid w:val="001A1E90"/>
    <w:rPr>
      <w:rFonts w:ascii="Tahoma" w:hAnsi="Tahoma" w:cs="Tahoma"/>
      <w:sz w:val="16"/>
      <w:szCs w:val="16"/>
    </w:rPr>
  </w:style>
  <w:style w:type="character" w:customStyle="1" w:styleId="PlainTextChar">
    <w:name w:val="Plain Text Char"/>
    <w:basedOn w:val="DefaultParagraphFont"/>
    <w:link w:val="PlainText"/>
    <w:uiPriority w:val="99"/>
    <w:semiHidden/>
    <w:qFormat/>
    <w:rsid w:val="00A06141"/>
    <w:rPr>
      <w:rFonts w:ascii="Calibri" w:hAnsi="Calibri" w:cs="Consolas"/>
      <w:szCs w:val="21"/>
    </w:rPr>
  </w:style>
  <w:style w:type="character" w:customStyle="1" w:styleId="Heading1Char">
    <w:name w:val="Heading 1 Char"/>
    <w:basedOn w:val="DefaultParagraphFont"/>
    <w:link w:val="Heading1"/>
    <w:uiPriority w:val="9"/>
    <w:qFormat/>
    <w:rsid w:val="002C3EA2"/>
    <w:rPr>
      <w:rFonts w:ascii="Arial Bold" w:eastAsiaTheme="majorEastAsia" w:hAnsi="Arial Bold" w:cs="Arial"/>
      <w:b/>
      <w:bCs/>
      <w:color w:val="009EE3"/>
      <w:sz w:val="48"/>
      <w:szCs w:val="48"/>
    </w:rPr>
  </w:style>
  <w:style w:type="character" w:customStyle="1" w:styleId="Heading2Char">
    <w:name w:val="Heading 2 Char"/>
    <w:basedOn w:val="DefaultParagraphFont"/>
    <w:link w:val="Heading2"/>
    <w:uiPriority w:val="9"/>
    <w:qFormat/>
    <w:rsid w:val="002C3EA2"/>
    <w:rPr>
      <w:rFonts w:ascii="Arial" w:eastAsiaTheme="majorEastAsia" w:hAnsi="Arial" w:cs="Arial"/>
      <w:b/>
      <w:bCs/>
      <w:color w:val="009EE3"/>
      <w:sz w:val="32"/>
      <w:szCs w:val="32"/>
    </w:rPr>
  </w:style>
  <w:style w:type="character" w:customStyle="1" w:styleId="Heading3Char">
    <w:name w:val="Heading 3 Char"/>
    <w:basedOn w:val="DefaultParagraphFont"/>
    <w:link w:val="Heading3"/>
    <w:uiPriority w:val="9"/>
    <w:qFormat/>
    <w:rsid w:val="002C3EA2"/>
    <w:rPr>
      <w:rFonts w:ascii="Arial Bold" w:eastAsiaTheme="majorEastAsia" w:hAnsi="Arial Bold" w:cs="Arial"/>
      <w:b/>
      <w:bCs/>
      <w:color w:val="009EE3"/>
      <w:sz w:val="28"/>
      <w:szCs w:val="28"/>
    </w:rPr>
  </w:style>
  <w:style w:type="character" w:customStyle="1" w:styleId="Heading4Char">
    <w:name w:val="Heading 4 Char"/>
    <w:basedOn w:val="DefaultParagraphFont"/>
    <w:link w:val="Heading4"/>
    <w:uiPriority w:val="9"/>
    <w:qFormat/>
    <w:rsid w:val="002C3EA2"/>
    <w:rPr>
      <w:rFonts w:ascii="Arial Bold" w:eastAsiaTheme="majorEastAsia" w:hAnsi="Arial Bold" w:cs="Arial"/>
      <w:b/>
      <w:bCs/>
      <w:i/>
      <w:iCs/>
      <w:color w:val="009EE3"/>
      <w:szCs w:val="24"/>
    </w:rPr>
  </w:style>
  <w:style w:type="character" w:customStyle="1" w:styleId="Heading5Char">
    <w:name w:val="Heading 5 Char"/>
    <w:basedOn w:val="DefaultParagraphFont"/>
    <w:link w:val="Heading5"/>
    <w:uiPriority w:val="9"/>
    <w:qFormat/>
    <w:rsid w:val="002C3EA2"/>
    <w:rPr>
      <w:rFonts w:ascii="Arial" w:eastAsiaTheme="majorEastAsia" w:hAnsi="Arial" w:cstheme="majorBidi"/>
      <w:i/>
      <w:color w:val="009EE3"/>
      <w:szCs w:val="24"/>
    </w:rPr>
  </w:style>
  <w:style w:type="character" w:customStyle="1" w:styleId="Heading6Char">
    <w:name w:val="Heading 6 Char"/>
    <w:basedOn w:val="DefaultParagraphFont"/>
    <w:link w:val="Heading6"/>
    <w:uiPriority w:val="9"/>
    <w:qFormat/>
    <w:rsid w:val="002C3EA2"/>
    <w:rPr>
      <w:rFonts w:asciiTheme="majorHAnsi" w:eastAsiaTheme="majorEastAsia" w:hAnsiTheme="majorHAnsi" w:cstheme="majorBidi"/>
      <w:i/>
      <w:iCs/>
      <w:color w:val="243F60" w:themeColor="accent1" w:themeShade="7F"/>
      <w:szCs w:val="24"/>
    </w:rPr>
  </w:style>
  <w:style w:type="character" w:customStyle="1" w:styleId="Heading7Char">
    <w:name w:val="Heading 7 Char"/>
    <w:basedOn w:val="DefaultParagraphFont"/>
    <w:link w:val="Heading7"/>
    <w:uiPriority w:val="9"/>
    <w:qFormat/>
    <w:rsid w:val="002C3EA2"/>
    <w:rPr>
      <w:rFonts w:asciiTheme="majorHAnsi" w:eastAsiaTheme="majorEastAsia" w:hAnsiTheme="majorHAnsi" w:cstheme="majorBidi"/>
      <w:i/>
      <w:iCs/>
      <w:color w:val="404040" w:themeColor="text1" w:themeTint="BF"/>
      <w:szCs w:val="24"/>
    </w:rPr>
  </w:style>
  <w:style w:type="character" w:customStyle="1" w:styleId="Heading8Char">
    <w:name w:val="Heading 8 Char"/>
    <w:basedOn w:val="DefaultParagraphFont"/>
    <w:link w:val="Heading8"/>
    <w:uiPriority w:val="9"/>
    <w:qFormat/>
    <w:rsid w:val="002C3EA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qFormat/>
    <w:rsid w:val="002C3EA2"/>
    <w:rPr>
      <w:rFonts w:asciiTheme="majorHAnsi" w:eastAsiaTheme="majorEastAsia" w:hAnsiTheme="majorHAnsi" w:cstheme="majorBidi"/>
      <w:i/>
      <w:iCs/>
      <w:color w:val="404040" w:themeColor="text1" w:themeTint="BF"/>
      <w:sz w:val="20"/>
      <w:szCs w:val="20"/>
    </w:rPr>
  </w:style>
  <w:style w:type="character" w:customStyle="1" w:styleId="FootnoteTextChar">
    <w:name w:val="Footnote Text Char"/>
    <w:basedOn w:val="DefaultParagraphFont"/>
    <w:link w:val="FootnoteText"/>
    <w:uiPriority w:val="99"/>
    <w:qFormat/>
    <w:rsid w:val="002C3EA2"/>
    <w:rPr>
      <w:rFonts w:ascii="Arial" w:eastAsia="Calibri" w:hAnsi="Arial" w:cs="Arial"/>
      <w:sz w:val="16"/>
      <w:szCs w:val="20"/>
      <w:lang w:eastAsia="en-GB"/>
    </w:rPr>
  </w:style>
  <w:style w:type="character" w:customStyle="1" w:styleId="FootnoteCharacters">
    <w:name w:val="Footnote Characters"/>
    <w:basedOn w:val="DefaultParagraphFont"/>
    <w:uiPriority w:val="99"/>
    <w:unhideWhenUsed/>
    <w:qFormat/>
    <w:rsid w:val="002C3EA2"/>
    <w:rPr>
      <w:vertAlign w:val="superscript"/>
    </w:rPr>
  </w:style>
  <w:style w:type="character" w:customStyle="1" w:styleId="FootnoteAnchor">
    <w:name w:val="Footnote Anchor"/>
    <w:rPr>
      <w:vertAlign w:val="superscript"/>
    </w:rPr>
  </w:style>
  <w:style w:type="character" w:customStyle="1" w:styleId="CNFontChar">
    <w:name w:val="CNFont Char"/>
    <w:basedOn w:val="DefaultParagraphFont"/>
    <w:link w:val="CNFont"/>
    <w:qFormat/>
    <w:rsid w:val="002C3EA2"/>
    <w:rPr>
      <w:rFonts w:ascii="Courier New" w:hAnsi="Courier New" w:cs="Courier New"/>
      <w:color w:val="000000"/>
      <w:szCs w:val="24"/>
    </w:rPr>
  </w:style>
  <w:style w:type="character" w:styleId="LineNumber">
    <w:name w:val="line number"/>
    <w:basedOn w:val="DefaultParagraphFont"/>
    <w:uiPriority w:val="99"/>
    <w:semiHidden/>
    <w:unhideWhenUsed/>
    <w:qFormat/>
    <w:rsid w:val="002C3EA2"/>
  </w:style>
  <w:style w:type="character" w:styleId="CommentReference">
    <w:name w:val="annotation reference"/>
    <w:basedOn w:val="DefaultParagraphFont"/>
    <w:uiPriority w:val="99"/>
    <w:semiHidden/>
    <w:unhideWhenUsed/>
    <w:qFormat/>
    <w:rsid w:val="002C3EA2"/>
    <w:rPr>
      <w:sz w:val="16"/>
      <w:szCs w:val="16"/>
    </w:rPr>
  </w:style>
  <w:style w:type="character" w:customStyle="1" w:styleId="CommentTextChar">
    <w:name w:val="Comment Text Char"/>
    <w:basedOn w:val="DefaultParagraphFont"/>
    <w:link w:val="CommentText"/>
    <w:uiPriority w:val="99"/>
    <w:semiHidden/>
    <w:qFormat/>
    <w:rsid w:val="002C3EA2"/>
    <w:rPr>
      <w:rFonts w:ascii="Arial" w:hAnsi="Arial"/>
      <w:sz w:val="20"/>
      <w:szCs w:val="20"/>
    </w:rPr>
  </w:style>
  <w:style w:type="character" w:customStyle="1" w:styleId="CommentSubjectChar">
    <w:name w:val="Comment Subject Char"/>
    <w:basedOn w:val="CommentTextChar"/>
    <w:link w:val="CommentSubject"/>
    <w:uiPriority w:val="99"/>
    <w:semiHidden/>
    <w:qFormat/>
    <w:rsid w:val="002C3EA2"/>
    <w:rPr>
      <w:rFonts w:ascii="Arial" w:hAnsi="Arial"/>
      <w:b/>
      <w:bCs/>
      <w:sz w:val="20"/>
      <w:szCs w:val="20"/>
    </w:rPr>
  </w:style>
  <w:style w:type="character" w:customStyle="1" w:styleId="ListParagraphChar">
    <w:name w:val="List Paragraph Char"/>
    <w:basedOn w:val="DefaultParagraphFont"/>
    <w:link w:val="ListParagraph"/>
    <w:uiPriority w:val="34"/>
    <w:qFormat/>
    <w:locked/>
    <w:rsid w:val="00DC055B"/>
    <w:rPr>
      <w:rFonts w:ascii="Arial" w:hAnsi="Arial"/>
    </w:rPr>
  </w:style>
  <w:style w:type="character" w:customStyle="1" w:styleId="smetsxrefChar">
    <w:name w:val="smets xref Char"/>
    <w:basedOn w:val="DefaultParagraphFont"/>
    <w:qFormat/>
    <w:rsid w:val="000E04EA"/>
    <w:rPr>
      <w:rFonts w:ascii="Arial" w:eastAsia="Times New Roman" w:hAnsi="Arial" w:cs="Arial"/>
      <w:i/>
    </w:rPr>
  </w:style>
  <w:style w:type="character" w:customStyle="1" w:styleId="apple-converted-space">
    <w:name w:val="apple-converted-space"/>
    <w:basedOn w:val="DefaultParagraphFont"/>
    <w:qFormat/>
    <w:rsid w:val="00D135D1"/>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b w:val="0"/>
      <w:bCs w:val="0"/>
      <w:i w:val="0"/>
      <w:iCs w:val="0"/>
      <w:caps w:val="0"/>
      <w:smallCaps w:val="0"/>
      <w:strike w:val="0"/>
      <w:dstrike w:val="0"/>
      <w:vanish w:val="0"/>
      <w:color w:val="000000"/>
      <w:spacing w:val="0"/>
      <w:kern w:val="0"/>
      <w:position w:val="0"/>
      <w:sz w:val="22"/>
      <w:u w:val="none"/>
      <w:vertAlign w:val="baseline"/>
      <w:em w:val="none"/>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eastAsia="Calibri" w:cs="Arial"/>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eastAsia="Calibri" w:cs="Arial"/>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b w:val="0"/>
      <w:bCs w:val="0"/>
      <w:i w:val="0"/>
      <w:iCs w:val="0"/>
      <w:caps w:val="0"/>
      <w:smallCaps w:val="0"/>
      <w:strike w:val="0"/>
      <w:dstrike w:val="0"/>
      <w:vanish w:val="0"/>
      <w:color w:val="000000"/>
      <w:spacing w:val="0"/>
      <w:kern w:val="0"/>
      <w:position w:val="0"/>
      <w:sz w:val="22"/>
      <w:u w:val="none"/>
      <w:vertAlign w:val="baseline"/>
      <w:em w:val="none"/>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cs="Courier New"/>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cs="Courier New"/>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rFonts w:cs="Courier New"/>
    </w:rPr>
  </w:style>
  <w:style w:type="character" w:customStyle="1" w:styleId="ListLabel77">
    <w:name w:val="ListLabel 77"/>
    <w:qFormat/>
    <w:rPr>
      <w:rFonts w:cs="Courier New"/>
    </w:rPr>
  </w:style>
  <w:style w:type="character" w:customStyle="1" w:styleId="ListLabel78">
    <w:name w:val="ListLabel 78"/>
    <w:qFormat/>
    <w:rPr>
      <w:rFonts w:cs="Courier New"/>
    </w:rPr>
  </w:style>
  <w:style w:type="character" w:customStyle="1" w:styleId="ListLabel79">
    <w:name w:val="ListLabel 79"/>
    <w:qFormat/>
    <w:rPr>
      <w:rFonts w:cs="Courier New"/>
    </w:rPr>
  </w:style>
  <w:style w:type="character" w:customStyle="1" w:styleId="ListLabel80">
    <w:name w:val="ListLabel 80"/>
    <w:qFormat/>
    <w:rPr>
      <w:rFonts w:cs="Courier New"/>
    </w:rPr>
  </w:style>
  <w:style w:type="character" w:customStyle="1" w:styleId="ListLabel81">
    <w:name w:val="ListLabel 81"/>
    <w:qFormat/>
    <w:rPr>
      <w:rFonts w:cs="Courier New"/>
    </w:rPr>
  </w:style>
  <w:style w:type="character" w:customStyle="1" w:styleId="ListLabel82">
    <w:name w:val="ListLabel 82"/>
    <w:qFormat/>
    <w:rPr>
      <w:rFonts w:cs="Courier New"/>
    </w:rPr>
  </w:style>
  <w:style w:type="character" w:customStyle="1" w:styleId="ListLabel83">
    <w:name w:val="ListLabel 83"/>
    <w:qFormat/>
    <w:rPr>
      <w:rFonts w:cs="Courier New"/>
    </w:rPr>
  </w:style>
  <w:style w:type="character" w:customStyle="1" w:styleId="ListLabel84">
    <w:name w:val="ListLabel 84"/>
    <w:qFormat/>
    <w:rPr>
      <w:rFonts w:cs="Courier New"/>
    </w:rPr>
  </w:style>
  <w:style w:type="character" w:customStyle="1" w:styleId="ListLabel85">
    <w:name w:val="ListLabel 85"/>
    <w:qFormat/>
    <w:rPr>
      <w:rFonts w:cs="Courier New"/>
    </w:rPr>
  </w:style>
  <w:style w:type="character" w:customStyle="1" w:styleId="ListLabel86">
    <w:name w:val="ListLabel 86"/>
    <w:qFormat/>
    <w:rPr>
      <w:rFonts w:cs="Courier New"/>
    </w:rPr>
  </w:style>
  <w:style w:type="character" w:customStyle="1" w:styleId="ListLabel87">
    <w:name w:val="ListLabel 87"/>
    <w:qFormat/>
    <w:rPr>
      <w:rFonts w:cs="Courier New"/>
    </w:rPr>
  </w:style>
  <w:style w:type="character" w:customStyle="1" w:styleId="ListLabel88">
    <w:name w:val="ListLabel 88"/>
    <w:qFormat/>
    <w:rPr>
      <w:rFonts w:cs="Courier New"/>
    </w:rPr>
  </w:style>
  <w:style w:type="character" w:customStyle="1" w:styleId="ListLabel89">
    <w:name w:val="ListLabel 89"/>
    <w:qFormat/>
    <w:rPr>
      <w:rFonts w:cs="Courier New"/>
    </w:rPr>
  </w:style>
  <w:style w:type="character" w:customStyle="1" w:styleId="ListLabel90">
    <w:name w:val="ListLabel 90"/>
    <w:qFormat/>
    <w:rPr>
      <w:rFonts w:cs="Courier New"/>
    </w:rPr>
  </w:style>
  <w:style w:type="character" w:customStyle="1" w:styleId="ListLabel91">
    <w:name w:val="ListLabel 91"/>
    <w:qFormat/>
    <w:rPr>
      <w:rFonts w:cs="Courier New"/>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cs="Courier New"/>
    </w:rPr>
  </w:style>
  <w:style w:type="character" w:customStyle="1" w:styleId="ListLabel96">
    <w:name w:val="ListLabel 96"/>
    <w:qFormat/>
    <w:rPr>
      <w:rFonts w:cs="Courier New"/>
    </w:rPr>
  </w:style>
  <w:style w:type="character" w:customStyle="1" w:styleId="ListLabel97">
    <w:name w:val="ListLabel 97"/>
    <w:qFormat/>
    <w:rPr>
      <w:rFonts w:cs="Courier New"/>
    </w:rPr>
  </w:style>
  <w:style w:type="character" w:customStyle="1" w:styleId="ListLabel98">
    <w:name w:val="ListLabel 98"/>
    <w:qFormat/>
    <w:rPr>
      <w:rFonts w:cs="Courier New"/>
    </w:rPr>
  </w:style>
  <w:style w:type="character" w:customStyle="1" w:styleId="ListLabel99">
    <w:name w:val="ListLabel 99"/>
    <w:qFormat/>
    <w:rPr>
      <w:rFonts w:cs="Courier New"/>
    </w:rPr>
  </w:style>
  <w:style w:type="character" w:customStyle="1" w:styleId="ListLabel100">
    <w:name w:val="ListLabel 100"/>
    <w:qFormat/>
    <w:rPr>
      <w:rFonts w:cs="Courier New"/>
    </w:rPr>
  </w:style>
  <w:style w:type="character" w:customStyle="1" w:styleId="ListLabel101">
    <w:name w:val="ListLabel 101"/>
    <w:qFormat/>
    <w:rPr>
      <w:rFonts w:cs="Courier New"/>
    </w:rPr>
  </w:style>
  <w:style w:type="character" w:customStyle="1" w:styleId="ListLabel102">
    <w:name w:val="ListLabel 102"/>
    <w:qFormat/>
    <w:rPr>
      <w:rFonts w:cs="Courier New"/>
    </w:rPr>
  </w:style>
  <w:style w:type="character" w:customStyle="1" w:styleId="ListLabel103">
    <w:name w:val="ListLabel 103"/>
    <w:qFormat/>
    <w:rPr>
      <w:rFonts w:cs="Courier New"/>
    </w:rPr>
  </w:style>
  <w:style w:type="paragraph" w:customStyle="1" w:styleId="Heading">
    <w:name w:val="Heading"/>
    <w:basedOn w:val="Normal"/>
    <w:next w:val="BodyText"/>
    <w:qFormat/>
    <w:pPr>
      <w:keepNext/>
      <w:spacing w:before="240"/>
    </w:pPr>
    <w:rPr>
      <w:rFonts w:ascii="Liberation Sans" w:eastAsia="Tahoma" w:hAnsi="Liberation Sans" w:cs="Droid Sans Devanagari"/>
      <w:sz w:val="28"/>
      <w:szCs w:val="28"/>
    </w:rPr>
  </w:style>
  <w:style w:type="paragraph" w:styleId="BodyText">
    <w:name w:val="Body Text"/>
    <w:basedOn w:val="Normal"/>
    <w:pPr>
      <w:spacing w:before="0" w:after="140" w:line="276" w:lineRule="auto"/>
    </w:pPr>
  </w:style>
  <w:style w:type="paragraph" w:styleId="List">
    <w:name w:val="List"/>
    <w:basedOn w:val="BodyText"/>
    <w:rPr>
      <w:rFonts w:cs="Droid Sans Devanagari"/>
    </w:rPr>
  </w:style>
  <w:style w:type="paragraph" w:styleId="Caption">
    <w:name w:val="caption"/>
    <w:basedOn w:val="Normal"/>
    <w:qFormat/>
    <w:pPr>
      <w:suppressLineNumbers/>
    </w:pPr>
    <w:rPr>
      <w:rFonts w:cs="Droid Sans Devanagari"/>
      <w:i/>
      <w:iCs/>
      <w:sz w:val="24"/>
      <w:szCs w:val="24"/>
    </w:rPr>
  </w:style>
  <w:style w:type="paragraph" w:customStyle="1" w:styleId="Index">
    <w:name w:val="Index"/>
    <w:basedOn w:val="Normal"/>
    <w:qFormat/>
    <w:pPr>
      <w:suppressLineNumbers/>
    </w:pPr>
    <w:rPr>
      <w:rFonts w:cs="Droid Sans Devanagari"/>
    </w:rPr>
  </w:style>
  <w:style w:type="paragraph" w:styleId="Header">
    <w:name w:val="header"/>
    <w:basedOn w:val="Normal"/>
    <w:link w:val="HeaderChar"/>
    <w:uiPriority w:val="99"/>
    <w:unhideWhenUsed/>
    <w:rsid w:val="001A1E90"/>
    <w:pPr>
      <w:tabs>
        <w:tab w:val="center" w:pos="4513"/>
        <w:tab w:val="right" w:pos="9026"/>
      </w:tabs>
      <w:spacing w:after="0"/>
    </w:pPr>
  </w:style>
  <w:style w:type="paragraph" w:styleId="Footer">
    <w:name w:val="footer"/>
    <w:basedOn w:val="Normal"/>
    <w:link w:val="FooterChar"/>
    <w:uiPriority w:val="99"/>
    <w:unhideWhenUsed/>
    <w:rsid w:val="001A1E90"/>
    <w:pPr>
      <w:tabs>
        <w:tab w:val="center" w:pos="4513"/>
        <w:tab w:val="right" w:pos="9026"/>
      </w:tabs>
      <w:spacing w:after="0"/>
    </w:pPr>
  </w:style>
  <w:style w:type="paragraph" w:styleId="BalloonText">
    <w:name w:val="Balloon Text"/>
    <w:basedOn w:val="Normal"/>
    <w:link w:val="BalloonTextChar"/>
    <w:uiPriority w:val="99"/>
    <w:semiHidden/>
    <w:unhideWhenUsed/>
    <w:qFormat/>
    <w:rsid w:val="001A1E90"/>
    <w:pPr>
      <w:spacing w:after="0"/>
    </w:pPr>
    <w:rPr>
      <w:rFonts w:ascii="Tahoma" w:hAnsi="Tahoma" w:cs="Tahoma"/>
      <w:sz w:val="16"/>
      <w:szCs w:val="16"/>
    </w:rPr>
  </w:style>
  <w:style w:type="paragraph" w:styleId="NoSpacing">
    <w:name w:val="No Spacing"/>
    <w:uiPriority w:val="1"/>
    <w:qFormat/>
    <w:rsid w:val="001B2D3F"/>
    <w:rPr>
      <w:rFonts w:ascii="Arial" w:hAnsi="Arial"/>
    </w:rPr>
  </w:style>
  <w:style w:type="paragraph" w:styleId="PlainText">
    <w:name w:val="Plain Text"/>
    <w:basedOn w:val="Normal"/>
    <w:link w:val="PlainTextChar"/>
    <w:uiPriority w:val="99"/>
    <w:semiHidden/>
    <w:unhideWhenUsed/>
    <w:qFormat/>
    <w:rsid w:val="00A06141"/>
    <w:pPr>
      <w:spacing w:after="0"/>
    </w:pPr>
    <w:rPr>
      <w:rFonts w:ascii="Calibri" w:hAnsi="Calibri" w:cs="Consolas"/>
      <w:szCs w:val="21"/>
    </w:rPr>
  </w:style>
  <w:style w:type="paragraph" w:customStyle="1" w:styleId="Tabletext">
    <w:name w:val="Table text"/>
    <w:basedOn w:val="Normal"/>
    <w:qFormat/>
    <w:rsid w:val="00D65AF2"/>
    <w:pPr>
      <w:spacing w:before="60" w:after="60"/>
    </w:pPr>
    <w:rPr>
      <w:rFonts w:cs="Arial"/>
      <w:color w:val="000000"/>
      <w:sz w:val="20"/>
      <w:szCs w:val="20"/>
    </w:rPr>
  </w:style>
  <w:style w:type="paragraph" w:styleId="ListParagraph">
    <w:name w:val="List Paragraph"/>
    <w:basedOn w:val="Normal"/>
    <w:link w:val="ListParagraphChar"/>
    <w:uiPriority w:val="34"/>
    <w:qFormat/>
    <w:rsid w:val="00D80986"/>
    <w:pPr>
      <w:ind w:left="720"/>
      <w:contextualSpacing/>
    </w:pPr>
  </w:style>
  <w:style w:type="paragraph" w:styleId="ListBullet">
    <w:name w:val="List Bullet"/>
    <w:basedOn w:val="Normal"/>
    <w:unhideWhenUsed/>
    <w:qFormat/>
    <w:rsid w:val="000067E6"/>
    <w:pPr>
      <w:spacing w:before="0" w:after="0"/>
      <w:ind w:left="426" w:hanging="426"/>
    </w:pPr>
    <w:rPr>
      <w:rFonts w:eastAsia="Times New Roman" w:cs="Arial"/>
      <w:color w:val="000000"/>
      <w:szCs w:val="24"/>
      <w:lang w:eastAsia="en-GB"/>
    </w:rPr>
  </w:style>
  <w:style w:type="paragraph" w:styleId="FootnoteText">
    <w:name w:val="footnote text"/>
    <w:basedOn w:val="Normal"/>
    <w:link w:val="FootnoteTextChar"/>
    <w:uiPriority w:val="99"/>
    <w:unhideWhenUsed/>
    <w:qFormat/>
    <w:rsid w:val="002C3EA2"/>
    <w:pPr>
      <w:spacing w:before="0" w:after="0"/>
    </w:pPr>
    <w:rPr>
      <w:rFonts w:eastAsia="Calibri" w:cs="Arial"/>
      <w:sz w:val="16"/>
      <w:szCs w:val="20"/>
      <w:lang w:eastAsia="en-GB"/>
    </w:rPr>
  </w:style>
  <w:style w:type="paragraph" w:customStyle="1" w:styleId="Narrow">
    <w:name w:val="Narrow"/>
    <w:basedOn w:val="Normal"/>
    <w:qFormat/>
    <w:rsid w:val="002C3EA2"/>
    <w:pPr>
      <w:spacing w:before="0" w:after="0" w:line="120" w:lineRule="exact"/>
    </w:pPr>
    <w:rPr>
      <w:rFonts w:cs="Arial"/>
      <w:color w:val="000000"/>
      <w:szCs w:val="24"/>
    </w:rPr>
  </w:style>
  <w:style w:type="paragraph" w:customStyle="1" w:styleId="TableHeader">
    <w:name w:val="Table Header"/>
    <w:basedOn w:val="Normal"/>
    <w:qFormat/>
    <w:rsid w:val="002C3EA2"/>
    <w:pPr>
      <w:spacing w:before="0" w:after="0"/>
    </w:pPr>
    <w:rPr>
      <w:rFonts w:cs="Arial"/>
      <w:sz w:val="20"/>
      <w:szCs w:val="20"/>
    </w:rPr>
  </w:style>
  <w:style w:type="paragraph" w:customStyle="1" w:styleId="CNFont">
    <w:name w:val="CNFont"/>
    <w:basedOn w:val="Normal"/>
    <w:next w:val="Normal"/>
    <w:link w:val="CNFontChar"/>
    <w:qFormat/>
    <w:rsid w:val="002C3EA2"/>
    <w:rPr>
      <w:rFonts w:ascii="Courier New" w:hAnsi="Courier New" w:cs="Courier New"/>
      <w:color w:val="000000"/>
      <w:szCs w:val="24"/>
    </w:rPr>
  </w:style>
  <w:style w:type="paragraph" w:styleId="CommentText">
    <w:name w:val="annotation text"/>
    <w:basedOn w:val="Normal"/>
    <w:link w:val="CommentTextChar"/>
    <w:uiPriority w:val="99"/>
    <w:semiHidden/>
    <w:unhideWhenUsed/>
    <w:qFormat/>
    <w:rsid w:val="002C3EA2"/>
    <w:rPr>
      <w:sz w:val="20"/>
      <w:szCs w:val="20"/>
    </w:rPr>
  </w:style>
  <w:style w:type="paragraph" w:styleId="CommentSubject">
    <w:name w:val="annotation subject"/>
    <w:basedOn w:val="CommentText"/>
    <w:next w:val="CommentText"/>
    <w:link w:val="CommentSubjectChar"/>
    <w:uiPriority w:val="99"/>
    <w:semiHidden/>
    <w:unhideWhenUsed/>
    <w:qFormat/>
    <w:rsid w:val="002C3EA2"/>
    <w:rPr>
      <w:b/>
      <w:bCs/>
    </w:rPr>
  </w:style>
  <w:style w:type="paragraph" w:customStyle="1" w:styleId="Listssb">
    <w:name w:val="List ssb"/>
    <w:basedOn w:val="Normal"/>
    <w:qFormat/>
    <w:rsid w:val="006962FB"/>
    <w:pPr>
      <w:ind w:left="1276" w:hanging="425"/>
    </w:pPr>
    <w:rPr>
      <w:rFonts w:eastAsia="Times New Roman" w:cs="Arial"/>
      <w:color w:val="000000"/>
      <w:szCs w:val="24"/>
      <w:lang w:eastAsia="en-GB"/>
    </w:rPr>
  </w:style>
  <w:style w:type="paragraph" w:customStyle="1" w:styleId="Listsub-bullet">
    <w:name w:val="List sub-bullet"/>
    <w:basedOn w:val="ListBullet"/>
    <w:qFormat/>
    <w:rsid w:val="00D4417E"/>
    <w:pPr>
      <w:tabs>
        <w:tab w:val="left" w:pos="851"/>
      </w:tabs>
      <w:spacing w:before="120" w:after="120"/>
      <w:ind w:left="851" w:hanging="425"/>
    </w:pPr>
  </w:style>
  <w:style w:type="paragraph" w:customStyle="1" w:styleId="Inset">
    <w:name w:val="Inset"/>
    <w:basedOn w:val="Normal"/>
    <w:next w:val="Normal"/>
    <w:qFormat/>
    <w:rsid w:val="00D4417E"/>
    <w:pPr>
      <w:ind w:left="426"/>
      <w:contextualSpacing/>
    </w:pPr>
    <w:rPr>
      <w:rFonts w:cs="Arial"/>
      <w:color w:val="000000"/>
      <w:szCs w:val="24"/>
      <w:lang w:eastAsia="en-GB"/>
    </w:rPr>
  </w:style>
  <w:style w:type="paragraph" w:customStyle="1" w:styleId="Tabtxtsingle">
    <w:name w:val="Tabtxtsingle"/>
    <w:basedOn w:val="Tabletext"/>
    <w:qFormat/>
    <w:rsid w:val="00247744"/>
    <w:pPr>
      <w:spacing w:before="0" w:after="0" w:line="276" w:lineRule="auto"/>
      <w:contextualSpacing/>
    </w:pPr>
  </w:style>
  <w:style w:type="paragraph" w:customStyle="1" w:styleId="Tablebullet">
    <w:name w:val="Table bullet"/>
    <w:basedOn w:val="ListBullet"/>
    <w:uiPriority w:val="99"/>
    <w:qFormat/>
    <w:rsid w:val="00954AFF"/>
    <w:pPr>
      <w:spacing w:before="60" w:after="60"/>
      <w:ind w:left="318" w:hanging="284"/>
    </w:pPr>
    <w:rPr>
      <w:sz w:val="20"/>
    </w:rPr>
  </w:style>
  <w:style w:type="paragraph" w:customStyle="1" w:styleId="Code">
    <w:name w:val="Code"/>
    <w:basedOn w:val="Normal"/>
    <w:qFormat/>
    <w:rsid w:val="00954AFF"/>
    <w:pPr>
      <w:tabs>
        <w:tab w:val="left" w:pos="4962"/>
      </w:tabs>
      <w:contextualSpacing/>
    </w:pPr>
    <w:rPr>
      <w:rFonts w:ascii="Courier New" w:hAnsi="Courier New" w:cs="Arial"/>
      <w:color w:val="000000"/>
      <w:sz w:val="18"/>
      <w:szCs w:val="24"/>
    </w:rPr>
  </w:style>
  <w:style w:type="paragraph" w:customStyle="1" w:styleId="Numbullet">
    <w:name w:val="Num bullet"/>
    <w:basedOn w:val="ListParagraph"/>
    <w:qFormat/>
    <w:rsid w:val="00DC055B"/>
    <w:pPr>
      <w:tabs>
        <w:tab w:val="left" w:pos="426"/>
      </w:tabs>
    </w:pPr>
    <w:rPr>
      <w:rFonts w:eastAsia="Calibri" w:cs="Arial"/>
      <w:color w:val="000000"/>
      <w:szCs w:val="24"/>
      <w:lang w:eastAsia="en-GB"/>
    </w:rPr>
  </w:style>
  <w:style w:type="paragraph" w:customStyle="1" w:styleId="Reference">
    <w:name w:val="Reference"/>
    <w:basedOn w:val="Normal"/>
    <w:qFormat/>
    <w:rsid w:val="00DB161B"/>
    <w:rPr>
      <w:rFonts w:ascii="Times New Roman" w:eastAsia="Times New Roman" w:hAnsi="Times New Roman" w:cs="Times New Roman"/>
      <w:sz w:val="20"/>
      <w:szCs w:val="20"/>
      <w:lang w:val="en-US" w:eastAsia="ko-KR"/>
    </w:rPr>
  </w:style>
  <w:style w:type="paragraph" w:customStyle="1" w:styleId="indentbullet1">
    <w:name w:val="indent bullet 1"/>
    <w:basedOn w:val="ListParagraph"/>
    <w:qFormat/>
    <w:rsid w:val="000E04EA"/>
    <w:pPr>
      <w:tabs>
        <w:tab w:val="left" w:pos="1560"/>
      </w:tabs>
      <w:ind w:left="1559" w:hanging="425"/>
    </w:pPr>
    <w:rPr>
      <w:rFonts w:eastAsia="Calibri" w:cs="Arial"/>
      <w:color w:val="000000"/>
      <w:szCs w:val="24"/>
      <w:lang w:eastAsia="en-GB"/>
    </w:rPr>
  </w:style>
  <w:style w:type="paragraph" w:customStyle="1" w:styleId="smetsxref">
    <w:name w:val="smets xref"/>
    <w:basedOn w:val="ListParagraph"/>
    <w:next w:val="Normal"/>
    <w:qFormat/>
    <w:rsid w:val="000E04EA"/>
    <w:rPr>
      <w:rFonts w:eastAsia="Times New Roman" w:cs="Arial"/>
      <w:i/>
    </w:rPr>
  </w:style>
  <w:style w:type="paragraph" w:customStyle="1" w:styleId="rombull">
    <w:name w:val="rom bull"/>
    <w:basedOn w:val="Normal"/>
    <w:qFormat/>
    <w:rsid w:val="000E04EA"/>
    <w:pPr>
      <w:contextualSpacing/>
    </w:pPr>
    <w:rPr>
      <w:rFonts w:eastAsia="Times New Roman" w:cs="Arial"/>
      <w:color w:val="000000"/>
      <w:szCs w:val="24"/>
      <w:lang w:eastAsia="en-GB"/>
    </w:rPr>
  </w:style>
  <w:style w:type="paragraph" w:customStyle="1" w:styleId="Listbulletintable">
    <w:name w:val="List bullet in table"/>
    <w:basedOn w:val="ListBullet"/>
    <w:qFormat/>
    <w:rsid w:val="0055035F"/>
    <w:pPr>
      <w:spacing w:before="120" w:after="240"/>
    </w:pPr>
    <w:rPr>
      <w:bCs/>
    </w:rPr>
  </w:style>
  <w:style w:type="paragraph" w:customStyle="1" w:styleId="FrameContents">
    <w:name w:val="Frame Contents"/>
    <w:basedOn w:val="Normal"/>
    <w:qFormat/>
  </w:style>
  <w:style w:type="table" w:styleId="TableGrid">
    <w:name w:val="Table Grid"/>
    <w:basedOn w:val="TableNormal"/>
    <w:uiPriority w:val="59"/>
    <w:rsid w:val="00D65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rsid w:val="0024774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7D6F2-AE67-4FB9-B63F-7DD70C2B9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739</Words>
  <Characters>4216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DECC</Company>
  <LinksUpToDate>false</LinksUpToDate>
  <CharactersWithSpaces>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Mounsey Helen (Fuel Poverty &amp; Smart Meters)</dc:creator>
  <dc:description/>
  <cp:lastModifiedBy>Joe Hehir</cp:lastModifiedBy>
  <cp:revision>1</cp:revision>
  <cp:lastPrinted>2015-04-24T12:01:00Z</cp:lastPrinted>
  <dcterms:created xsi:type="dcterms:W3CDTF">2021-07-12T11:33:00Z</dcterms:created>
  <dcterms:modified xsi:type="dcterms:W3CDTF">2021-07-12T11:33:00Z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DECC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DocHome">
    <vt:i4>-2112511422</vt:i4>
  </property>
  <property fmtid="{D5CDD505-2E9C-101B-9397-08002B2CF9AE}" pid="10" name="MSIP_Label_ba62f585-b40f-4ab9-bafe-39150f03d124_Enabled">
    <vt:lpwstr>true</vt:lpwstr>
  </property>
  <property fmtid="{D5CDD505-2E9C-101B-9397-08002B2CF9AE}" pid="11" name="MSIP_Label_ba62f585-b40f-4ab9-bafe-39150f03d124_SetDate">
    <vt:lpwstr>2019-09-27T14:11:46Z</vt:lpwstr>
  </property>
  <property fmtid="{D5CDD505-2E9C-101B-9397-08002B2CF9AE}" pid="12" name="MSIP_Label_ba62f585-b40f-4ab9-bafe-39150f03d124_Method">
    <vt:lpwstr>Standard</vt:lpwstr>
  </property>
  <property fmtid="{D5CDD505-2E9C-101B-9397-08002B2CF9AE}" pid="13" name="MSIP_Label_ba62f585-b40f-4ab9-bafe-39150f03d124_Name">
    <vt:lpwstr>OFFICIAL</vt:lpwstr>
  </property>
  <property fmtid="{D5CDD505-2E9C-101B-9397-08002B2CF9AE}" pid="14" name="MSIP_Label_ba62f585-b40f-4ab9-bafe-39150f03d124_SiteId">
    <vt:lpwstr>cbac7005-02c1-43eb-b497-e6492d1b2dd8</vt:lpwstr>
  </property>
  <property fmtid="{D5CDD505-2E9C-101B-9397-08002B2CF9AE}" pid="15" name="MSIP_Label_ba62f585-b40f-4ab9-bafe-39150f03d124_ActionId">
    <vt:lpwstr>b9a722f8-18fb-411b-99b7-00003dddbde5</vt:lpwstr>
  </property>
  <property fmtid="{D5CDD505-2E9C-101B-9397-08002B2CF9AE}" pid="16" name="MSIP_Label_ba62f585-b40f-4ab9-bafe-39150f03d124_ContentBits">
    <vt:lpwstr>0</vt:lpwstr>
  </property>
</Properties>
</file>